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B02" w:rsidRPr="00D90B02" w:rsidRDefault="00D90B02" w:rsidP="00D90B0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90B02">
        <w:rPr>
          <w:rFonts w:ascii="Times New Roman" w:hAnsi="Times New Roman" w:cs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0CE9E9FC" wp14:editId="04C22851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B02" w:rsidRPr="00D90B02" w:rsidRDefault="00D90B02" w:rsidP="00D90B02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  <w:lang w:val="en-US"/>
        </w:rPr>
        <w:t>C</w:t>
      </w:r>
      <w:r w:rsidRPr="00D90B02">
        <w:rPr>
          <w:b/>
          <w:sz w:val="28"/>
          <w:szCs w:val="28"/>
        </w:rPr>
        <w:t>ТАРОВИЖІВСЬКА СЕЛИЩНА РАДА</w:t>
      </w:r>
    </w:p>
    <w:p w:rsidR="00D90B02" w:rsidRPr="00D90B02" w:rsidRDefault="00D90B02" w:rsidP="00D90B02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КОВЕЛЬСЬКОГО РАЙОНУ ВОЛИНСЬКОЇ ОБЛАСТІ</w:t>
      </w:r>
    </w:p>
    <w:p w:rsidR="00D90B02" w:rsidRPr="00D90B02" w:rsidRDefault="00D90B02" w:rsidP="00D90B02">
      <w:pPr>
        <w:pStyle w:val="a3"/>
        <w:spacing w:after="0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ВИКОНАВЧИЙ КОМІТЕТ</w:t>
      </w:r>
    </w:p>
    <w:p w:rsidR="00D90B02" w:rsidRPr="00D90B02" w:rsidRDefault="00D90B02" w:rsidP="00D90B02">
      <w:pPr>
        <w:pStyle w:val="a3"/>
        <w:spacing w:after="0"/>
        <w:jc w:val="center"/>
        <w:rPr>
          <w:b/>
          <w:sz w:val="28"/>
          <w:szCs w:val="28"/>
        </w:rPr>
      </w:pPr>
    </w:p>
    <w:p w:rsidR="00D90B02" w:rsidRPr="00D90B02" w:rsidRDefault="00D90B02" w:rsidP="00D90B02">
      <w:pPr>
        <w:pStyle w:val="a3"/>
        <w:spacing w:after="0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 xml:space="preserve">Р І Ш Е Н </w:t>
      </w:r>
      <w:proofErr w:type="spellStart"/>
      <w:r w:rsidRPr="00D90B02">
        <w:rPr>
          <w:b/>
          <w:sz w:val="28"/>
          <w:szCs w:val="28"/>
        </w:rPr>
        <w:t>Н</w:t>
      </w:r>
      <w:proofErr w:type="spellEnd"/>
      <w:r w:rsidRPr="00D90B02">
        <w:rPr>
          <w:b/>
          <w:sz w:val="28"/>
          <w:szCs w:val="28"/>
        </w:rPr>
        <w:t xml:space="preserve"> Я</w:t>
      </w:r>
    </w:p>
    <w:p w:rsidR="00D90B02" w:rsidRPr="00D90B02" w:rsidRDefault="00D90B02" w:rsidP="00D90B02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90B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0B0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90B02">
        <w:rPr>
          <w:rFonts w:ascii="Times New Roman" w:hAnsi="Times New Roman" w:cs="Times New Roman"/>
          <w:sz w:val="28"/>
          <w:szCs w:val="28"/>
        </w:rPr>
        <w:tab/>
      </w:r>
    </w:p>
    <w:p w:rsidR="00D90B02" w:rsidRPr="00D90B02" w:rsidRDefault="00D90B02" w:rsidP="00D90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90B02">
        <w:rPr>
          <w:rFonts w:ascii="Times New Roman" w:hAnsi="Times New Roman" w:cs="Times New Roman"/>
          <w:sz w:val="28"/>
          <w:szCs w:val="28"/>
          <w:u w:val="single"/>
          <w:lang w:val="uk-UA"/>
        </w:rPr>
        <w:t>31 серпня 2023 р. № 9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</w:p>
    <w:p w:rsidR="00D90B02" w:rsidRPr="00D90B02" w:rsidRDefault="00D90B02" w:rsidP="00D90B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 w:rsidRPr="00D90B02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D90B02" w:rsidRPr="00D90B02" w:rsidRDefault="00D90B02" w:rsidP="00D90B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B02" w:rsidRDefault="00D90B02" w:rsidP="00D90B02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90B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підготовку закладів освіти</w:t>
      </w:r>
    </w:p>
    <w:p w:rsidR="00D90B02" w:rsidRPr="00D90B02" w:rsidRDefault="00D90B02" w:rsidP="00D90B02">
      <w:pPr>
        <w:keepNext/>
        <w:overflowPunct w:val="0"/>
        <w:adjustRightInd w:val="0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до нового 2023/2024 навчального року</w:t>
      </w:r>
    </w:p>
    <w:p w:rsidR="00D90B02" w:rsidRPr="00D90B02" w:rsidRDefault="00D90B02" w:rsidP="00D90B02">
      <w:pPr>
        <w:keepNext/>
        <w:overflowPunct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90B02" w:rsidRPr="00D90B02" w:rsidRDefault="00D90B02" w:rsidP="00D90B02">
      <w:pPr>
        <w:keepNext/>
        <w:overflowPunct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             Заслухавши  інформацію  начальника гуманітарного відділу  селищної ради  </w:t>
      </w:r>
      <w:proofErr w:type="spellStart"/>
      <w:r w:rsidRPr="00D90B02">
        <w:rPr>
          <w:rFonts w:ascii="Times New Roman" w:hAnsi="Times New Roman" w:cs="Times New Roman"/>
          <w:sz w:val="28"/>
          <w:szCs w:val="28"/>
          <w:lang w:val="uk-UA"/>
        </w:rPr>
        <w:t>В.Яриніч</w:t>
      </w:r>
      <w:proofErr w:type="spellEnd"/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  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підготовку закладів освіти до нового 2023/2024 навчального року</w:t>
      </w:r>
      <w:r w:rsidRPr="00D90B0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</w:t>
      </w:r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  статті </w:t>
      </w:r>
      <w:r>
        <w:rPr>
          <w:rFonts w:ascii="Times New Roman" w:hAnsi="Times New Roman" w:cs="Times New Roman"/>
          <w:sz w:val="28"/>
          <w:szCs w:val="28"/>
          <w:lang w:val="uk-UA"/>
        </w:rPr>
        <w:t>32  За</w:t>
      </w:r>
      <w:r w:rsidRPr="00D90B02">
        <w:rPr>
          <w:rFonts w:ascii="Times New Roman" w:hAnsi="Times New Roman" w:cs="Times New Roman"/>
          <w:sz w:val="28"/>
          <w:szCs w:val="28"/>
          <w:lang w:val="uk-UA"/>
        </w:rPr>
        <w:t>кону України   « Про місцеве самоврядування в Україні»,</w:t>
      </w:r>
    </w:p>
    <w:p w:rsidR="00D90B02" w:rsidRPr="00D90B02" w:rsidRDefault="00D90B02" w:rsidP="00D90B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B02" w:rsidRDefault="00D90B02" w:rsidP="00D90B02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D90B02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D90B02" w:rsidRDefault="00D90B02" w:rsidP="00D90B0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Інформацію начальника гуманітарного відділу  селищної ради  </w:t>
      </w:r>
      <w:proofErr w:type="spellStart"/>
      <w:r w:rsidRPr="00D90B02">
        <w:rPr>
          <w:rFonts w:ascii="Times New Roman" w:hAnsi="Times New Roman" w:cs="Times New Roman"/>
          <w:sz w:val="28"/>
          <w:szCs w:val="28"/>
          <w:lang w:val="uk-UA"/>
        </w:rPr>
        <w:t>В.Яриніч</w:t>
      </w:r>
      <w:proofErr w:type="spellEnd"/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18E8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D90B02">
        <w:rPr>
          <w:rFonts w:ascii="Times New Roman" w:hAnsi="Times New Roman" w:cs="Times New Roman"/>
          <w:sz w:val="28"/>
          <w:szCs w:val="28"/>
          <w:lang w:val="uk-UA"/>
        </w:rPr>
        <w:t>зяти до відому.</w:t>
      </w:r>
    </w:p>
    <w:p w:rsidR="00D90B02" w:rsidRPr="00B8135E" w:rsidRDefault="00D90B02" w:rsidP="00D90B02">
      <w:pPr>
        <w:spacing w:line="276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90B02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Гуманітарному відділу селищної ради:</w:t>
      </w:r>
    </w:p>
    <w:p w:rsidR="00D90B02" w:rsidRPr="00B8135E" w:rsidRDefault="00D90B02" w:rsidP="00D90B02">
      <w:pPr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135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5A18E8">
        <w:rPr>
          <w:rFonts w:ascii="Times New Roman" w:hAnsi="Times New Roman" w:cs="Times New Roman"/>
          <w:sz w:val="28"/>
          <w:szCs w:val="28"/>
          <w:lang w:val="uk-UA"/>
        </w:rPr>
        <w:t>) з</w:t>
      </w:r>
      <w:r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абезпечити </w:t>
      </w:r>
      <w:r w:rsidRPr="00B8135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інформаційний супровід освітнього процесу </w:t>
      </w:r>
      <w:r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в 2023/2024 </w:t>
      </w:r>
      <w:r w:rsidR="005A18E8">
        <w:rPr>
          <w:rFonts w:ascii="Times New Roman" w:hAnsi="Times New Roman" w:cs="Times New Roman"/>
          <w:sz w:val="28"/>
          <w:szCs w:val="28"/>
          <w:lang w:val="uk-UA"/>
        </w:rPr>
        <w:t>навчальному році;</w:t>
      </w:r>
    </w:p>
    <w:p w:rsidR="005A18E8" w:rsidRDefault="00D90B02" w:rsidP="005A18E8">
      <w:pPr>
        <w:pStyle w:val="rvps14"/>
        <w:spacing w:before="150" w:beforeAutospacing="0" w:after="15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18E8">
        <w:rPr>
          <w:sz w:val="28"/>
          <w:szCs w:val="28"/>
        </w:rPr>
        <w:t>) с</w:t>
      </w:r>
      <w:r w:rsidRPr="00B8135E">
        <w:rPr>
          <w:sz w:val="28"/>
          <w:szCs w:val="28"/>
        </w:rPr>
        <w:t>координувати діяльність керівників закладів освіти щодо впровадження нового Положення про ате</w:t>
      </w:r>
      <w:r>
        <w:rPr>
          <w:sz w:val="28"/>
          <w:szCs w:val="28"/>
        </w:rPr>
        <w:t xml:space="preserve">стацію педагогічних працівників, затвердженого наказом </w:t>
      </w:r>
      <w:r w:rsidR="005A18E8">
        <w:rPr>
          <w:sz w:val="28"/>
          <w:szCs w:val="28"/>
        </w:rPr>
        <w:t>М</w:t>
      </w:r>
      <w:r>
        <w:rPr>
          <w:sz w:val="28"/>
          <w:szCs w:val="28"/>
        </w:rPr>
        <w:t>іністерства освіти і науки України 09.09.2022 р.№805</w:t>
      </w:r>
      <w:r w:rsidR="005A18E8">
        <w:rPr>
          <w:sz w:val="28"/>
          <w:szCs w:val="28"/>
        </w:rPr>
        <w:t>, зареєстровано в Міністерстві юстиції України 21.12.2022 р. за №1649/38985</w:t>
      </w:r>
      <w:r>
        <w:rPr>
          <w:sz w:val="28"/>
          <w:szCs w:val="28"/>
        </w:rPr>
        <w:t>.</w:t>
      </w:r>
    </w:p>
    <w:p w:rsidR="00D90B02" w:rsidRPr="00B8135E" w:rsidRDefault="005A18E8" w:rsidP="005A18E8">
      <w:pPr>
        <w:pStyle w:val="rvps14"/>
        <w:spacing w:before="150" w:beforeAutospacing="0" w:after="150" w:afterAutospacing="0"/>
        <w:ind w:left="708"/>
        <w:jc w:val="both"/>
        <w:rPr>
          <w:sz w:val="28"/>
          <w:szCs w:val="28"/>
        </w:rPr>
      </w:pPr>
      <w:r w:rsidRPr="005A18E8">
        <w:rPr>
          <w:b/>
          <w:bCs/>
          <w:color w:val="333333"/>
        </w:rPr>
        <w:t xml:space="preserve"> </w:t>
      </w:r>
      <w:r w:rsidRPr="005A18E8">
        <w:rPr>
          <w:b/>
          <w:bCs/>
          <w:color w:val="333333"/>
        </w:rPr>
        <w:br/>
      </w:r>
      <w:bookmarkStart w:id="0" w:name="n3"/>
      <w:bookmarkEnd w:id="0"/>
      <w:r>
        <w:rPr>
          <w:sz w:val="28"/>
          <w:szCs w:val="28"/>
        </w:rPr>
        <w:t>3</w:t>
      </w:r>
      <w:r w:rsidR="00D90B02">
        <w:rPr>
          <w:sz w:val="28"/>
          <w:szCs w:val="28"/>
        </w:rPr>
        <w:t xml:space="preserve">. </w:t>
      </w:r>
      <w:r w:rsidR="00D90B02" w:rsidRPr="00B8135E">
        <w:rPr>
          <w:sz w:val="28"/>
          <w:szCs w:val="28"/>
        </w:rPr>
        <w:t xml:space="preserve"> Директорам закладів освіти:</w:t>
      </w:r>
    </w:p>
    <w:p w:rsidR="00D90B02" w:rsidRPr="00B8135E" w:rsidRDefault="005A18E8" w:rsidP="00D90B0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>абезпечити організований початок 2023/2024 навчального року відповідно до вимог правого режиму воєнного стану в Україні, протипожежної без</w:t>
      </w:r>
      <w:r w:rsidR="00A517B3">
        <w:rPr>
          <w:rFonts w:ascii="Times New Roman" w:hAnsi="Times New Roman" w:cs="Times New Roman"/>
          <w:sz w:val="28"/>
          <w:szCs w:val="28"/>
          <w:lang w:val="uk-UA"/>
        </w:rPr>
        <w:t>пеки, санітарних норм і правил;</w:t>
      </w:r>
    </w:p>
    <w:p w:rsidR="00D90B02" w:rsidRPr="00B8135E" w:rsidRDefault="00A517B3" w:rsidP="00D90B0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п</w:t>
      </w:r>
      <w:r w:rsidR="00915441">
        <w:rPr>
          <w:rFonts w:ascii="Times New Roman" w:hAnsi="Times New Roman" w:cs="Times New Roman"/>
          <w:sz w:val="28"/>
          <w:szCs w:val="28"/>
          <w:lang w:val="uk-UA"/>
        </w:rPr>
        <w:t>рацювати на організаці</w:t>
      </w:r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ю гарячого харчування дітей з 1 жовтня 2023 року в залежності від </w:t>
      </w:r>
      <w:proofErr w:type="spellStart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>безпекової</w:t>
      </w:r>
      <w:proofErr w:type="spellEnd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 ситуації в Україн</w:t>
      </w:r>
      <w:r>
        <w:rPr>
          <w:rFonts w:ascii="Times New Roman" w:hAnsi="Times New Roman" w:cs="Times New Roman"/>
          <w:sz w:val="28"/>
          <w:szCs w:val="28"/>
          <w:lang w:val="uk-UA"/>
        </w:rPr>
        <w:t>і та на території селищної ради;</w:t>
      </w:r>
    </w:p>
    <w:p w:rsidR="00915441" w:rsidRDefault="00915441" w:rsidP="00D90B0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15441" w:rsidRDefault="00915441" w:rsidP="00915441">
      <w:pPr>
        <w:ind w:firstLine="709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915441" w:rsidRDefault="00915441" w:rsidP="00D90B0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0B02" w:rsidRPr="00B8135E" w:rsidRDefault="00915441" w:rsidP="00D90B0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A517B3">
        <w:rPr>
          <w:rFonts w:ascii="Times New Roman" w:hAnsi="Times New Roman" w:cs="Times New Roman"/>
          <w:sz w:val="28"/>
          <w:szCs w:val="28"/>
          <w:lang w:val="uk-UA"/>
        </w:rPr>
        <w:t>) з</w:t>
      </w:r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>дійснити комплекс заходів по підготовці теплових господарств до роботи в осінньо-зимовий період.</w:t>
      </w:r>
    </w:p>
    <w:p w:rsidR="00D90B02" w:rsidRPr="00B8135E" w:rsidRDefault="00915441" w:rsidP="00D90B02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. Директорам </w:t>
      </w:r>
      <w:proofErr w:type="spellStart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>Старогутівського</w:t>
      </w:r>
      <w:proofErr w:type="spellEnd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 опорного ліцеїв, ЗДО смт Стара </w:t>
      </w:r>
      <w:proofErr w:type="spellStart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proofErr w:type="spellStart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>Мизівського</w:t>
      </w:r>
      <w:proofErr w:type="spellEnd"/>
      <w:r w:rsidR="00D90B02" w:rsidRPr="00B8135E">
        <w:rPr>
          <w:rFonts w:ascii="Times New Roman" w:hAnsi="Times New Roman" w:cs="Times New Roman"/>
          <w:sz w:val="28"/>
          <w:szCs w:val="28"/>
          <w:lang w:val="uk-UA"/>
        </w:rPr>
        <w:t xml:space="preserve"> ЗДО завершити заплановані ремонтні роботи до початку опалювального сезону.</w:t>
      </w:r>
    </w:p>
    <w:p w:rsidR="00D90B02" w:rsidRPr="00915441" w:rsidRDefault="00915441" w:rsidP="00D90B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5. Контроль за виконанням рішення покласти на заступника селищного голови з питань діяльності виконавчих органів  та начальника гуманітарного відділу селищної ради.</w:t>
      </w:r>
    </w:p>
    <w:p w:rsidR="00D90B02" w:rsidRPr="00D90B02" w:rsidRDefault="00D90B02" w:rsidP="00D90B02">
      <w:pPr>
        <w:keepNext/>
        <w:overflowPunct w:val="0"/>
        <w:adjustRightInd w:val="0"/>
        <w:spacing w:line="276" w:lineRule="auto"/>
        <w:ind w:left="142" w:firstLine="56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90B02" w:rsidRPr="00D90B02" w:rsidRDefault="00D90B02" w:rsidP="00D90B0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0B02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D90B02" w:rsidRPr="00915441" w:rsidRDefault="00D90B02" w:rsidP="00D90B02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5441">
        <w:rPr>
          <w:rFonts w:ascii="Times New Roman" w:hAnsi="Times New Roman" w:cs="Times New Roman"/>
          <w:sz w:val="24"/>
          <w:szCs w:val="24"/>
          <w:lang w:val="uk-UA"/>
        </w:rPr>
        <w:t xml:space="preserve">Валентина </w:t>
      </w:r>
      <w:proofErr w:type="spellStart"/>
      <w:r w:rsidRPr="00915441">
        <w:rPr>
          <w:rFonts w:ascii="Times New Roman" w:hAnsi="Times New Roman" w:cs="Times New Roman"/>
          <w:sz w:val="24"/>
          <w:szCs w:val="24"/>
          <w:lang w:val="uk-UA"/>
        </w:rPr>
        <w:t>Яриніч</w:t>
      </w:r>
      <w:proofErr w:type="spellEnd"/>
      <w:r w:rsidRPr="00915441">
        <w:rPr>
          <w:rFonts w:ascii="Times New Roman" w:hAnsi="Times New Roman" w:cs="Times New Roman"/>
          <w:sz w:val="24"/>
          <w:szCs w:val="24"/>
          <w:lang w:val="uk-UA"/>
        </w:rPr>
        <w:t xml:space="preserve"> 21459</w:t>
      </w:r>
    </w:p>
    <w:p w:rsidR="00D90B02" w:rsidRPr="00D90B02" w:rsidRDefault="00D90B02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02" w:rsidRPr="00D90B02" w:rsidRDefault="00D90B02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02" w:rsidRPr="00D90B02" w:rsidRDefault="00D90B02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90B02" w:rsidRDefault="00D90B02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Pr="00945AEC" w:rsidRDefault="00E924FB" w:rsidP="00E924FB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945AEC">
        <w:rPr>
          <w:rFonts w:ascii="Times New Roman" w:hAnsi="Times New Roman"/>
          <w:sz w:val="28"/>
          <w:szCs w:val="28"/>
          <w:lang w:val="uk-UA"/>
        </w:rPr>
        <w:t xml:space="preserve">ДОВІДКА </w:t>
      </w:r>
    </w:p>
    <w:p w:rsidR="00E924FB" w:rsidRDefault="00E924FB" w:rsidP="00E924FB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 w:rsidRPr="00945AEC">
        <w:rPr>
          <w:rFonts w:ascii="Times New Roman" w:hAnsi="Times New Roman"/>
          <w:sz w:val="28"/>
          <w:szCs w:val="28"/>
          <w:lang w:val="uk-UA"/>
        </w:rPr>
        <w:t xml:space="preserve">про стан підготовки закладів освіти, розташованих </w:t>
      </w:r>
      <w:r>
        <w:rPr>
          <w:rFonts w:ascii="Times New Roman" w:hAnsi="Times New Roman"/>
          <w:sz w:val="28"/>
          <w:szCs w:val="28"/>
          <w:lang w:val="uk-UA"/>
        </w:rPr>
        <w:t xml:space="preserve">на території </w:t>
      </w:r>
    </w:p>
    <w:p w:rsidR="00E924FB" w:rsidRDefault="00E924FB" w:rsidP="00E924FB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селищної ради, до нового 2023-2024 навчального року</w:t>
      </w:r>
    </w:p>
    <w:p w:rsidR="00E924FB" w:rsidRDefault="00E924FB" w:rsidP="00E924FB">
      <w:pPr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01EBF">
        <w:rPr>
          <w:rFonts w:ascii="Times New Roman" w:hAnsi="Times New Roman"/>
          <w:sz w:val="28"/>
          <w:szCs w:val="28"/>
          <w:lang w:val="uk-UA"/>
        </w:rPr>
        <w:t>З метою належної підготовки закладів освіти до нового навчального року та до роботи в осінньо-зимовий період 2023-2024 року видано розпорядження селищного голови від 24.05.2023 року №104 «Про підготовку матеріально-технічної бази закладів освіти до роботи в новому 2023/2024 навчальному році та в осінньо-зимовий період», яким затверджено план заходів щодо організованої підготовки до навчального року та забезпечення безперебійного освітнього процесу в зимовий період та створено комісію для координації та здійснення контролю за підготовкою закладів освіти до організованого початку 2023/2024 навчального року та роботи в зимових умовах.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17-18 та 21 серпня 2023</w:t>
      </w:r>
      <w:r w:rsidRPr="00862599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 xml:space="preserve">представники робочої групи, у складі якої були працівники селищної ради, спеціалісти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ДСНС, поліції) </w:t>
      </w:r>
      <w:r w:rsidRPr="006533D5">
        <w:rPr>
          <w:rFonts w:ascii="Times New Roman" w:hAnsi="Times New Roman"/>
          <w:sz w:val="28"/>
          <w:szCs w:val="28"/>
          <w:lang w:val="uk-UA"/>
        </w:rPr>
        <w:t>провели обстеження усіх 18 закладів освіти на предмет їх готовності до нового 2023/2024 навчального рок</w:t>
      </w:r>
      <w:r>
        <w:rPr>
          <w:rFonts w:ascii="Times New Roman" w:hAnsi="Times New Roman"/>
          <w:sz w:val="28"/>
          <w:szCs w:val="28"/>
          <w:lang w:val="uk-UA"/>
        </w:rPr>
        <w:t>у.</w:t>
      </w:r>
    </w:p>
    <w:p w:rsidR="00E924FB" w:rsidRPr="00686D2F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86D2F">
        <w:rPr>
          <w:rFonts w:ascii="Times New Roman" w:hAnsi="Times New Roman"/>
          <w:sz w:val="28"/>
          <w:szCs w:val="28"/>
          <w:lang w:val="uk-UA"/>
        </w:rPr>
        <w:t xml:space="preserve">Головна увага була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закцентована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на підготовці захисних споруд, які можна використовувати для укриття учасників освітнього процесу. Упродовж літнього періоду працівники усіх закладів освіти активно працювали над ремонтом найпростіших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укриттів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та приведенням їх у відповідність до вимог нормативних документів. Було проведено побілку, фарбування стін та стелі, модернізовано систему освітлення, підведено Інтернет; укладено бруківку на підлогу в укриттях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ліцею та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ЗДО, встановлено автоматичні замки для відчинення дверей.</w:t>
      </w:r>
    </w:p>
    <w:p w:rsidR="00E924FB" w:rsidRPr="00686D2F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86D2F">
        <w:rPr>
          <w:rFonts w:ascii="Times New Roman" w:hAnsi="Times New Roman"/>
          <w:sz w:val="28"/>
          <w:szCs w:val="28"/>
          <w:lang w:val="uk-UA"/>
        </w:rPr>
        <w:t xml:space="preserve">За результатами обстежень комісія рекомендує навчання в очному форматі для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Мизівського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Смолярівського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ліцеїв;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Галиновільської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Нововижвівської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Поліської,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Седлищенської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гімназій;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центру дитячої та юнацької творчості,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-ресурсного центру,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музичної школи;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Мизівського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Галиновільського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Смолярівського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Поліського ЗДО та дошкільних підрозділів у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Седлищі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і Новій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Вижві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>.</w:t>
      </w:r>
    </w:p>
    <w:p w:rsidR="00E924FB" w:rsidRPr="00686D2F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86D2F">
        <w:rPr>
          <w:rFonts w:ascii="Times New Roman" w:hAnsi="Times New Roman"/>
          <w:sz w:val="28"/>
          <w:szCs w:val="28"/>
          <w:lang w:val="uk-UA"/>
        </w:rPr>
        <w:t xml:space="preserve">У зв’язку з відсутністю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укриттів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, пропонується дистанційне навчання для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Старогутівського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опорного ліцею,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Чевельської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гімназії та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Старогутівського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ЗДО.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686D2F">
        <w:rPr>
          <w:rFonts w:ascii="Times New Roman" w:hAnsi="Times New Roman"/>
          <w:sz w:val="28"/>
          <w:szCs w:val="28"/>
          <w:lang w:val="uk-UA"/>
        </w:rPr>
        <w:t xml:space="preserve">Остаточне рішення про формат навчання, режим роботи закладів освіти будуть приймати колективи закладів спільно з батьками, зважаючи на </w:t>
      </w:r>
      <w:proofErr w:type="spellStart"/>
      <w:r w:rsidRPr="00686D2F">
        <w:rPr>
          <w:rFonts w:ascii="Times New Roman" w:hAnsi="Times New Roman"/>
          <w:sz w:val="28"/>
          <w:szCs w:val="28"/>
          <w:lang w:val="uk-UA"/>
        </w:rPr>
        <w:t>безпекову</w:t>
      </w:r>
      <w:proofErr w:type="spellEnd"/>
      <w:r w:rsidRPr="00686D2F">
        <w:rPr>
          <w:rFonts w:ascii="Times New Roman" w:hAnsi="Times New Roman"/>
          <w:sz w:val="28"/>
          <w:szCs w:val="28"/>
          <w:lang w:val="uk-UA"/>
        </w:rPr>
        <w:t xml:space="preserve"> ситуацію в Україні та висновки комісії з питань техногенно-екологічної безпеки і надзвичайних ситуацій.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Таким чином, з 1 вересня цього року на території громади буде функціонувати 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- 9 ЗЗЗСО (3 ліцеї, 1 опорний ліцей, 5 гімназій);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- 6 ЗДО + 2 дошкільні підрозділи у складі гімназій;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- 1 позашкільний заклад;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інклюзивно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-ресурсний центр;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- 1 заклад освіти у сфері культури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ДМШ).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Заклади освіти розпочнуть роботу поки що без організованого гарячого харчування, крім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ЗДО, в якому буде одноразове харчування. </w:t>
      </w:r>
    </w:p>
    <w:p w:rsidR="00E924FB" w:rsidRPr="00EF5CF2" w:rsidRDefault="00E924FB" w:rsidP="00E924FB">
      <w:pPr>
        <w:ind w:firstLine="709"/>
        <w:jc w:val="both"/>
        <w:rPr>
          <w:rFonts w:ascii="Times New Roman" w:hAnsi="Times New Roman" w:cs="Times New Roman"/>
          <w:i/>
          <w:color w:val="000000"/>
          <w:lang w:val="uk-UA"/>
        </w:rPr>
      </w:pPr>
      <w:r w:rsidRPr="00EF5C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Прикро, що кількість учнів у школах зменшується. До 1 класу набираємо лише 123 учні (загалом по громаді прогнозується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1651 учень, що </w:t>
      </w:r>
      <w:r w:rsidRPr="00EF5C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107 учнів менше, ніж минулого року). </w:t>
      </w:r>
    </w:p>
    <w:tbl>
      <w:tblPr>
        <w:tblpPr w:leftFromText="180" w:rightFromText="180" w:vertAnchor="text" w:horzAnchor="margin" w:tblpY="27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992"/>
        <w:gridCol w:w="993"/>
        <w:gridCol w:w="1134"/>
        <w:gridCol w:w="1559"/>
        <w:gridCol w:w="1134"/>
        <w:gridCol w:w="1134"/>
      </w:tblGrid>
      <w:tr w:rsidR="00E924FB" w:rsidRPr="00EF5CF2" w:rsidTr="00170BE0">
        <w:trPr>
          <w:trHeight w:val="228"/>
        </w:trPr>
        <w:tc>
          <w:tcPr>
            <w:tcW w:w="534" w:type="dxa"/>
            <w:vMerge w:val="restart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№п/п</w:t>
            </w:r>
          </w:p>
        </w:tc>
        <w:tc>
          <w:tcPr>
            <w:tcW w:w="2551" w:type="dxa"/>
            <w:vMerge w:val="restart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Назва закладу освіти</w:t>
            </w:r>
          </w:p>
        </w:tc>
        <w:tc>
          <w:tcPr>
            <w:tcW w:w="3119" w:type="dxa"/>
            <w:gridSpan w:val="3"/>
          </w:tcPr>
          <w:p w:rsidR="00E924FB" w:rsidRPr="00EF5CF2" w:rsidRDefault="00E924FB" w:rsidP="00170BE0">
            <w:pPr>
              <w:suppressAutoHyphens/>
              <w:ind w:left="-108" w:right="-108" w:firstLine="34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lang w:val="uk-UA"/>
              </w:rPr>
              <w:t xml:space="preserve">2022-2023 </w:t>
            </w:r>
            <w:proofErr w:type="spellStart"/>
            <w:r w:rsidRPr="00EF5CF2">
              <w:rPr>
                <w:rFonts w:ascii="Times New Roman" w:hAnsi="Times New Roman" w:cs="Times New Roman"/>
                <w:b/>
                <w:lang w:val="uk-UA"/>
              </w:rPr>
              <w:t>н.р</w:t>
            </w:r>
            <w:proofErr w:type="spellEnd"/>
            <w:r w:rsidRPr="00EF5CF2">
              <w:rPr>
                <w:rFonts w:ascii="Times New Roman" w:hAnsi="Times New Roman" w:cs="Times New Roman"/>
                <w:b/>
                <w:lang w:val="uk-UA"/>
              </w:rPr>
              <w:t>.</w:t>
            </w:r>
          </w:p>
        </w:tc>
        <w:tc>
          <w:tcPr>
            <w:tcW w:w="3827" w:type="dxa"/>
            <w:gridSpan w:val="3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108" w:right="-108" w:firstLine="34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color w:val="000000"/>
                <w:lang w:val="uk-UA"/>
              </w:rPr>
              <w:t xml:space="preserve">2023-2024 </w:t>
            </w:r>
            <w:proofErr w:type="spellStart"/>
            <w:r w:rsidRPr="00EF5CF2">
              <w:rPr>
                <w:rFonts w:ascii="Times New Roman" w:hAnsi="Times New Roman" w:cs="Times New Roman"/>
                <w:b/>
                <w:color w:val="000000"/>
                <w:lang w:val="uk-UA"/>
              </w:rPr>
              <w:t>н.р</w:t>
            </w:r>
            <w:proofErr w:type="spellEnd"/>
            <w:r w:rsidRPr="00EF5CF2">
              <w:rPr>
                <w:rFonts w:ascii="Times New Roman" w:hAnsi="Times New Roman" w:cs="Times New Roman"/>
                <w:b/>
                <w:color w:val="000000"/>
                <w:lang w:val="uk-UA"/>
              </w:rPr>
              <w:t>.</w:t>
            </w:r>
          </w:p>
        </w:tc>
      </w:tr>
      <w:tr w:rsidR="00E924FB" w:rsidRPr="00EF5CF2" w:rsidTr="00170BE0">
        <w:trPr>
          <w:trHeight w:val="841"/>
        </w:trPr>
        <w:tc>
          <w:tcPr>
            <w:tcW w:w="534" w:type="dxa"/>
            <w:vMerge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51" w:type="dxa"/>
            <w:vMerge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К-сть учнів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 xml:space="preserve">К- </w:t>
            </w: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сть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класів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Середня наповнюваність</w:t>
            </w:r>
          </w:p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К-сть учнів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 xml:space="preserve">К- </w:t>
            </w: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сть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класів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 xml:space="preserve">Середня наповнюваність </w:t>
            </w:r>
          </w:p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Старовижівський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ліцей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910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37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24,5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865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37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23,4</w:t>
            </w: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2.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Мизівський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ліцей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104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9,5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101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11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9,2</w:t>
            </w: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3.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Смолярівський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ліцей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160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14,5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152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11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13,8</w:t>
            </w:r>
          </w:p>
        </w:tc>
      </w:tr>
      <w:tr w:rsidR="00E924FB" w:rsidRPr="00EF5CF2" w:rsidTr="00170BE0">
        <w:trPr>
          <w:trHeight w:val="578"/>
        </w:trPr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4.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Старогутівський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опорний ліцей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232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14,5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230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16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14,4</w:t>
            </w: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5.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Галиновільська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гімназія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13,3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120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13,3</w:t>
            </w: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6.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Нововижвівська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гімназія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74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8,4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68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9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7,6</w:t>
            </w: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7.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Поліська гімназія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64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9,1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63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9,0</w:t>
            </w: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8.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Седлищенська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гімназія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7,6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53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8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6,6</w:t>
            </w:r>
          </w:p>
        </w:tc>
      </w:tr>
      <w:tr w:rsidR="00E924FB" w:rsidRPr="00EF5CF2" w:rsidTr="00170BE0">
        <w:tc>
          <w:tcPr>
            <w:tcW w:w="534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9.</w:t>
            </w:r>
          </w:p>
        </w:tc>
        <w:tc>
          <w:tcPr>
            <w:tcW w:w="2551" w:type="dxa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F5CF2">
              <w:rPr>
                <w:rFonts w:ascii="Times New Roman" w:hAnsi="Times New Roman" w:cs="Times New Roman"/>
                <w:lang w:val="uk-UA"/>
              </w:rPr>
              <w:t>Чевельська</w:t>
            </w:r>
            <w:proofErr w:type="spellEnd"/>
            <w:r w:rsidRPr="00EF5CF2">
              <w:rPr>
                <w:rFonts w:ascii="Times New Roman" w:hAnsi="Times New Roman" w:cs="Times New Roman"/>
                <w:lang w:val="uk-UA"/>
              </w:rPr>
              <w:t xml:space="preserve"> гімназія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41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lang w:val="uk-UA"/>
              </w:rPr>
              <w:t>5,9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F5CF2">
              <w:rPr>
                <w:rFonts w:ascii="Times New Roman" w:hAnsi="Times New Roman" w:cs="Times New Roman"/>
                <w:lang w:val="uk-UA"/>
              </w:rPr>
              <w:t>42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color w:val="000000"/>
                <w:lang w:val="uk-UA"/>
              </w:rPr>
              <w:t>7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ind w:left="-534" w:firstLine="534"/>
              <w:jc w:val="center"/>
              <w:rPr>
                <w:rFonts w:ascii="Times New Roman" w:hAnsi="Times New Roman" w:cs="Times New Roman"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i/>
                <w:color w:val="000000"/>
                <w:lang w:val="uk-UA"/>
              </w:rPr>
              <w:t>6,0</w:t>
            </w:r>
          </w:p>
        </w:tc>
      </w:tr>
      <w:tr w:rsidR="00E924FB" w:rsidRPr="00EF5CF2" w:rsidTr="00170BE0">
        <w:tc>
          <w:tcPr>
            <w:tcW w:w="3085" w:type="dxa"/>
            <w:gridSpan w:val="2"/>
          </w:tcPr>
          <w:p w:rsidR="00E924FB" w:rsidRPr="00EF5CF2" w:rsidRDefault="00E924FB" w:rsidP="00170BE0">
            <w:pPr>
              <w:suppressAutoHyphens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lang w:val="uk-UA"/>
              </w:rPr>
              <w:t>Всього</w:t>
            </w:r>
          </w:p>
        </w:tc>
        <w:tc>
          <w:tcPr>
            <w:tcW w:w="992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lang w:val="uk-UA"/>
              </w:rPr>
              <w:t>1758</w:t>
            </w:r>
          </w:p>
        </w:tc>
        <w:tc>
          <w:tcPr>
            <w:tcW w:w="993" w:type="dxa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lang w:val="uk-UA"/>
              </w:rPr>
              <w:t>114</w:t>
            </w:r>
          </w:p>
        </w:tc>
        <w:tc>
          <w:tcPr>
            <w:tcW w:w="1134" w:type="dxa"/>
            <w:shd w:val="clear" w:color="auto" w:fill="FFFFFF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i/>
                <w:lang w:val="uk-UA"/>
              </w:rPr>
              <w:t>15,4</w:t>
            </w:r>
          </w:p>
        </w:tc>
        <w:tc>
          <w:tcPr>
            <w:tcW w:w="1559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lang w:val="uk-UA"/>
              </w:rPr>
              <w:t>1651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color w:val="000000"/>
                <w:lang w:val="uk-UA"/>
              </w:rPr>
              <w:t>115</w:t>
            </w:r>
          </w:p>
        </w:tc>
        <w:tc>
          <w:tcPr>
            <w:tcW w:w="1134" w:type="dxa"/>
            <w:shd w:val="clear" w:color="auto" w:fill="D99594"/>
          </w:tcPr>
          <w:p w:rsidR="00E924FB" w:rsidRPr="00EF5CF2" w:rsidRDefault="00E924FB" w:rsidP="00170BE0">
            <w:pPr>
              <w:suppressAutoHyphens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</w:pPr>
            <w:r w:rsidRPr="00EF5CF2">
              <w:rPr>
                <w:rFonts w:ascii="Times New Roman" w:hAnsi="Times New Roman" w:cs="Times New Roman"/>
                <w:b/>
                <w:i/>
                <w:color w:val="000000"/>
                <w:lang w:val="uk-UA"/>
              </w:rPr>
              <w:t>14,4</w:t>
            </w:r>
          </w:p>
        </w:tc>
      </w:tr>
    </w:tbl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закладах дошкільної освіти п</w:t>
      </w:r>
      <w:r w:rsidRPr="00C6631E">
        <w:rPr>
          <w:rFonts w:ascii="Times New Roman" w:hAnsi="Times New Roman"/>
          <w:sz w:val="28"/>
          <w:szCs w:val="28"/>
          <w:lang w:val="uk-UA"/>
        </w:rPr>
        <w:t>рогнозується з 1 ве</w:t>
      </w:r>
      <w:r>
        <w:rPr>
          <w:rFonts w:ascii="Times New Roman" w:hAnsi="Times New Roman"/>
          <w:sz w:val="28"/>
          <w:szCs w:val="28"/>
          <w:lang w:val="uk-UA"/>
        </w:rPr>
        <w:t>ресня – 332 вихованці (на 30 більше, ніж минулого року)</w:t>
      </w:r>
      <w:r w:rsidRPr="00C6631E">
        <w:rPr>
          <w:rFonts w:ascii="Times New Roman" w:hAnsi="Times New Roman"/>
          <w:sz w:val="28"/>
          <w:szCs w:val="28"/>
          <w:lang w:val="uk-UA"/>
        </w:rPr>
        <w:t xml:space="preserve">: 206 у смт Стара </w:t>
      </w:r>
      <w:proofErr w:type="spellStart"/>
      <w:r w:rsidRPr="00C6631E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 w:rsidRPr="00C6631E">
        <w:rPr>
          <w:rFonts w:ascii="Times New Roman" w:hAnsi="Times New Roman"/>
          <w:sz w:val="28"/>
          <w:szCs w:val="28"/>
          <w:lang w:val="uk-UA"/>
        </w:rPr>
        <w:t>, 126 – у сільських закладах</w:t>
      </w:r>
      <w:r>
        <w:rPr>
          <w:rFonts w:ascii="Times New Roman" w:hAnsi="Times New Roman"/>
          <w:sz w:val="28"/>
          <w:szCs w:val="28"/>
          <w:lang w:val="uk-UA"/>
        </w:rPr>
        <w:t>. Працюватиме на рівні минулого року 17</w:t>
      </w:r>
      <w:r w:rsidRPr="005E5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6631E">
        <w:rPr>
          <w:rFonts w:ascii="Times New Roman" w:hAnsi="Times New Roman"/>
          <w:sz w:val="28"/>
          <w:szCs w:val="28"/>
          <w:lang w:val="uk-UA"/>
        </w:rPr>
        <w:t xml:space="preserve">груп (10 у смт Стара </w:t>
      </w:r>
      <w:proofErr w:type="spellStart"/>
      <w:r w:rsidRPr="00C6631E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 w:rsidRPr="00C6631E">
        <w:rPr>
          <w:rFonts w:ascii="Times New Roman" w:hAnsi="Times New Roman"/>
          <w:sz w:val="28"/>
          <w:szCs w:val="28"/>
          <w:lang w:val="uk-UA"/>
        </w:rPr>
        <w:t>, по 1 групі – у 7 сільських закладах).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Незважаючи на складні реалії сьогодення, спільними зусиллями працівників установ, групи господарського забезпечення закладів освіти, батьків, небайдужих громадян вдалося покращити матеріально-технічну базу закладів освіти. 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У 2023 році на підготовку установ до нового навчального року та забезпечення їх роботи в осінньо-зимовий період було спрямовано близько 4,5 млн. грн. З них 2,0 млн. грн. на закупівлю торфобрикету (слід зазначити, що дрова уже третій рік поспіль заготовляють самі працівники закладів освіти), 790,0 тис. грн. – на паливно-мастильні матеріали, 250 тис. грн. – на облаштування найпростіших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укриттів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>, решту – на інші поточні видатки.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lastRenderedPageBreak/>
        <w:t>За ці кошти закуплено фарбу, цемент, електроплити, насоси, бруківку в укриття, камери відеоспостереження та інше і виконані наступні найбільш об’ємні ремон</w:t>
      </w:r>
      <w:r>
        <w:rPr>
          <w:rFonts w:ascii="Times New Roman" w:hAnsi="Times New Roman"/>
          <w:sz w:val="28"/>
          <w:szCs w:val="28"/>
          <w:lang w:val="uk-UA"/>
        </w:rPr>
        <w:t>тні роботи</w:t>
      </w:r>
      <w:r w:rsidRPr="005E5E00">
        <w:rPr>
          <w:rFonts w:ascii="Times New Roman" w:hAnsi="Times New Roman"/>
          <w:sz w:val="28"/>
          <w:szCs w:val="28"/>
          <w:lang w:val="uk-UA"/>
        </w:rPr>
        <w:t>: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відремонтовано санітарні кімнати (з облаштуванням їх для дітей з особливими освітніми потребами)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Старовижівському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ліцеї та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Нововижвівській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гімназії;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встановлено камери відеоспостереження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Мизівському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Смолярівському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Старовижівському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ліцеях, Поліській та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Нововижвівській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гімназіях;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проведено ремонт даху (з повною заміною покрівлі)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Старогутівському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ЗДО;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відремонтовано витяжну систему у приміщенні паливної та облаштовано спортивну кімнату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Седлищенській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гімназії;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проведено ремонт шкільної їдальні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Мизівському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ліцеї;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укладено бруківку та значно покращено умови в укриттях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ліцею і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ЗДО;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реставровано коридор на І поверсі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Нововижвівської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гімназії та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Сука</w:t>
      </w:r>
      <w:r>
        <w:rPr>
          <w:rFonts w:ascii="Times New Roman" w:hAnsi="Times New Roman"/>
          <w:sz w:val="28"/>
          <w:szCs w:val="28"/>
          <w:lang w:val="uk-UA"/>
        </w:rPr>
        <w:t>чівській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початковій школі-філії;</w:t>
      </w:r>
    </w:p>
    <w:p w:rsidR="00E924FB" w:rsidRPr="00765438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765438">
        <w:rPr>
          <w:rFonts w:ascii="Times New Roman" w:hAnsi="Times New Roman"/>
          <w:color w:val="FF0000"/>
          <w:sz w:val="28"/>
          <w:szCs w:val="28"/>
          <w:lang w:val="uk-UA"/>
        </w:rPr>
        <w:t xml:space="preserve">- труба </w:t>
      </w:r>
      <w:proofErr w:type="spellStart"/>
      <w:r w:rsidRPr="00765438">
        <w:rPr>
          <w:rFonts w:ascii="Times New Roman" w:hAnsi="Times New Roman"/>
          <w:color w:val="FF0000"/>
          <w:sz w:val="28"/>
          <w:szCs w:val="28"/>
          <w:lang w:val="uk-UA"/>
        </w:rPr>
        <w:t>Смолярівський</w:t>
      </w:r>
      <w:proofErr w:type="spellEnd"/>
      <w:r w:rsidRPr="00765438">
        <w:rPr>
          <w:rFonts w:ascii="Times New Roman" w:hAnsi="Times New Roman"/>
          <w:color w:val="FF0000"/>
          <w:sz w:val="28"/>
          <w:szCs w:val="28"/>
          <w:lang w:val="uk-UA"/>
        </w:rPr>
        <w:t xml:space="preserve"> ліцей.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Крім того, у грудні 2022 року було відкрито спортивну залу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Смолярівського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ліцею, яка 27 років не функціонувала. Ремонтні роботи проводилися господарським способом, на придбання матеріалів загалом використано 500 тис. грн. 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Старогутівський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опорний ліцей у 2022 році взяв участь у Міжнародному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проєкті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та отримав від міжнародної організації «ЮНІСЕФ» 3000 євро. За ці кошти були придбані матеріали для заміни покрівлі у шкільній їдальні (роботи виконувались власними силами). У 2023 році у рамках цього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проєкту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опорний ліцей отримав 2000 доларів для ремонту обідньої зали шкільної їдальні (роботи на даний час </w:t>
      </w:r>
      <w:r>
        <w:rPr>
          <w:rFonts w:ascii="Times New Roman" w:hAnsi="Times New Roman"/>
          <w:sz w:val="28"/>
          <w:szCs w:val="28"/>
          <w:lang w:val="uk-UA"/>
        </w:rPr>
        <w:t xml:space="preserve">ще </w:t>
      </w:r>
      <w:r w:rsidRPr="005E5E00">
        <w:rPr>
          <w:rFonts w:ascii="Times New Roman" w:hAnsi="Times New Roman"/>
          <w:sz w:val="28"/>
          <w:szCs w:val="28"/>
          <w:lang w:val="uk-UA"/>
        </w:rPr>
        <w:t>виконуються).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Крім того, є ще кілька об’єктів, на яких роботи виконуються, але вони не впливають на початок освітнього процесу, зокрема: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Старовижівському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ліц</w:t>
      </w:r>
      <w:r>
        <w:rPr>
          <w:rFonts w:ascii="Times New Roman" w:hAnsi="Times New Roman"/>
          <w:sz w:val="28"/>
          <w:szCs w:val="28"/>
          <w:lang w:val="uk-UA"/>
        </w:rPr>
        <w:t>еї – утеплення спортивної зали</w:t>
      </w:r>
      <w:r w:rsidRPr="005E5E00">
        <w:rPr>
          <w:rFonts w:ascii="Times New Roman" w:hAnsi="Times New Roman"/>
          <w:sz w:val="28"/>
          <w:szCs w:val="28"/>
          <w:lang w:val="uk-UA"/>
        </w:rPr>
        <w:t>, ремонт теплотра</w:t>
      </w:r>
      <w:r>
        <w:rPr>
          <w:rFonts w:ascii="Times New Roman" w:hAnsi="Times New Roman"/>
          <w:sz w:val="28"/>
          <w:szCs w:val="28"/>
          <w:lang w:val="uk-UA"/>
        </w:rPr>
        <w:t>си</w:t>
      </w:r>
      <w:r w:rsidRPr="005E5E00">
        <w:rPr>
          <w:rFonts w:ascii="Times New Roman" w:hAnsi="Times New Roman"/>
          <w:sz w:val="28"/>
          <w:szCs w:val="28"/>
          <w:lang w:val="uk-UA"/>
        </w:rPr>
        <w:t>;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Старогутівському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опорному ліцеї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5E00">
        <w:rPr>
          <w:rFonts w:ascii="Times New Roman" w:hAnsi="Times New Roman"/>
          <w:sz w:val="28"/>
          <w:szCs w:val="28"/>
          <w:lang w:val="uk-UA"/>
        </w:rPr>
        <w:t xml:space="preserve">ремонт харчоблоку, </w:t>
      </w:r>
      <w:r>
        <w:rPr>
          <w:rFonts w:ascii="Times New Roman" w:hAnsi="Times New Roman"/>
          <w:sz w:val="28"/>
          <w:szCs w:val="28"/>
          <w:lang w:val="uk-UA"/>
        </w:rPr>
        <w:t>облаштування пішохідних доріжок</w:t>
      </w:r>
      <w:r w:rsidRPr="005E5E00">
        <w:rPr>
          <w:rFonts w:ascii="Times New Roman" w:hAnsi="Times New Roman"/>
          <w:sz w:val="28"/>
          <w:szCs w:val="28"/>
          <w:lang w:val="uk-UA"/>
        </w:rPr>
        <w:t>;</w:t>
      </w:r>
    </w:p>
    <w:p w:rsidR="00E924FB" w:rsidRPr="004E12F7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4E12F7">
        <w:rPr>
          <w:rFonts w:ascii="Times New Roman" w:hAnsi="Times New Roman"/>
          <w:color w:val="FF0000"/>
          <w:sz w:val="28"/>
          <w:szCs w:val="28"/>
          <w:lang w:val="uk-UA"/>
        </w:rPr>
        <w:t xml:space="preserve">- у </w:t>
      </w:r>
      <w:proofErr w:type="spellStart"/>
      <w:r w:rsidRPr="004E12F7">
        <w:rPr>
          <w:rFonts w:ascii="Times New Roman" w:hAnsi="Times New Roman"/>
          <w:color w:val="FF0000"/>
          <w:sz w:val="28"/>
          <w:szCs w:val="28"/>
          <w:lang w:val="uk-UA"/>
        </w:rPr>
        <w:t>Нововижвівській</w:t>
      </w:r>
      <w:proofErr w:type="spellEnd"/>
      <w:r w:rsidRPr="004E12F7">
        <w:rPr>
          <w:rFonts w:ascii="Times New Roman" w:hAnsi="Times New Roman"/>
          <w:color w:val="FF0000"/>
          <w:sz w:val="28"/>
          <w:szCs w:val="28"/>
          <w:lang w:val="uk-UA"/>
        </w:rPr>
        <w:t xml:space="preserve"> гімназії – ремонт харчоблоку;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Смолярівському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ЗДО – ремонт</w:t>
      </w:r>
      <w:r>
        <w:rPr>
          <w:rFonts w:ascii="Times New Roman" w:hAnsi="Times New Roman"/>
          <w:sz w:val="28"/>
          <w:szCs w:val="28"/>
          <w:lang w:val="uk-UA"/>
        </w:rPr>
        <w:t xml:space="preserve"> нового </w:t>
      </w:r>
      <w:r w:rsidRPr="005E5E00">
        <w:rPr>
          <w:rFonts w:ascii="Times New Roman" w:hAnsi="Times New Roman"/>
          <w:sz w:val="28"/>
          <w:szCs w:val="28"/>
          <w:lang w:val="uk-UA"/>
        </w:rPr>
        <w:t xml:space="preserve"> приміщення;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</w:t>
      </w:r>
      <w:r w:rsidRPr="005E5E00">
        <w:rPr>
          <w:rFonts w:ascii="Times New Roman" w:hAnsi="Times New Roman"/>
          <w:sz w:val="28"/>
          <w:szCs w:val="28"/>
          <w:lang w:val="uk-UA"/>
        </w:rPr>
        <w:t xml:space="preserve"> ЗДО «Сонечко» смт Стара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– ремонт вхідних дашків, пішохідних доріж</w:t>
      </w:r>
      <w:r>
        <w:rPr>
          <w:rFonts w:ascii="Times New Roman" w:hAnsi="Times New Roman"/>
          <w:sz w:val="28"/>
          <w:szCs w:val="28"/>
          <w:lang w:val="uk-UA"/>
        </w:rPr>
        <w:t>ок</w:t>
      </w:r>
      <w:r w:rsidRPr="005E5E00">
        <w:rPr>
          <w:rFonts w:ascii="Times New Roman" w:hAnsi="Times New Roman"/>
          <w:sz w:val="28"/>
          <w:szCs w:val="28"/>
          <w:lang w:val="uk-UA"/>
        </w:rPr>
        <w:t>;</w:t>
      </w:r>
    </w:p>
    <w:p w:rsidR="00E924FB" w:rsidRPr="005E5E00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 xml:space="preserve">- у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Мизівському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ЗДО – облаштування </w:t>
      </w:r>
      <w:r>
        <w:rPr>
          <w:rFonts w:ascii="Times New Roman" w:hAnsi="Times New Roman"/>
          <w:sz w:val="28"/>
          <w:szCs w:val="28"/>
          <w:lang w:val="uk-UA"/>
        </w:rPr>
        <w:t>окремого найпростішого укриття.</w:t>
      </w:r>
    </w:p>
    <w:p w:rsidR="00E924FB" w:rsidRDefault="00E924FB" w:rsidP="00E924F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5E5E00">
        <w:rPr>
          <w:rFonts w:ascii="Times New Roman" w:hAnsi="Times New Roman"/>
          <w:sz w:val="28"/>
          <w:szCs w:val="28"/>
          <w:lang w:val="uk-UA"/>
        </w:rPr>
        <w:t>З 10 населених пунктів до 4 шкіл громади здійснювалося підвезення шкільними автобусами 178 учнів та 12 педагогічних працівників. На балансі ЗЗСО є 2 автобуси та 2 мікроавтобуси «Газель»; 1 автобус переданий на потреби ЗСУ.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5E00">
        <w:rPr>
          <w:rFonts w:ascii="Times New Roman" w:hAnsi="Times New Roman"/>
          <w:sz w:val="28"/>
          <w:szCs w:val="28"/>
          <w:lang w:val="uk-UA"/>
        </w:rPr>
        <w:t xml:space="preserve">Працюємо над придбанням ще 1 шкільного автобуса (на </w:t>
      </w:r>
      <w:proofErr w:type="spellStart"/>
      <w:r w:rsidRPr="005E5E00"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 w:rsidRPr="005E5E00">
        <w:rPr>
          <w:rFonts w:ascii="Times New Roman" w:hAnsi="Times New Roman"/>
          <w:sz w:val="28"/>
          <w:szCs w:val="28"/>
          <w:lang w:val="uk-UA"/>
        </w:rPr>
        <w:t xml:space="preserve"> виділено 1,5 млн. грн.).</w:t>
      </w:r>
    </w:p>
    <w:p w:rsidR="00E924FB" w:rsidRDefault="00E924FB" w:rsidP="008E14E6">
      <w:pPr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 цілому, заклади освіти готові до початку нового навчального року.</w:t>
      </w:r>
      <w:bookmarkStart w:id="1" w:name="_GoBack"/>
      <w:bookmarkEnd w:id="1"/>
    </w:p>
    <w:p w:rsidR="00E924FB" w:rsidRPr="000E7728" w:rsidRDefault="00E924FB" w:rsidP="00E924FB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Начальник гуманітарного відділу                                        Валентина ЯРИНІЧ</w:t>
      </w: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924FB" w:rsidRPr="00D90B02" w:rsidRDefault="00E924FB" w:rsidP="00D90B02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E924FB" w:rsidRPr="00D90B02" w:rsidSect="005F76FC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CF15A1"/>
    <w:multiLevelType w:val="hybridMultilevel"/>
    <w:tmpl w:val="851E3348"/>
    <w:lvl w:ilvl="0" w:tplc="B2086228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945"/>
    <w:rsid w:val="000231AA"/>
    <w:rsid w:val="000A07A5"/>
    <w:rsid w:val="000C3338"/>
    <w:rsid w:val="00145008"/>
    <w:rsid w:val="0019274B"/>
    <w:rsid w:val="0023271C"/>
    <w:rsid w:val="0028707B"/>
    <w:rsid w:val="002C090B"/>
    <w:rsid w:val="00362F24"/>
    <w:rsid w:val="00366D60"/>
    <w:rsid w:val="005A18E8"/>
    <w:rsid w:val="005F76FC"/>
    <w:rsid w:val="006740C4"/>
    <w:rsid w:val="008662FD"/>
    <w:rsid w:val="008E14E6"/>
    <w:rsid w:val="00915441"/>
    <w:rsid w:val="00A517B3"/>
    <w:rsid w:val="00A87EAE"/>
    <w:rsid w:val="00B8135E"/>
    <w:rsid w:val="00BB1945"/>
    <w:rsid w:val="00C23F06"/>
    <w:rsid w:val="00D874DC"/>
    <w:rsid w:val="00D90B02"/>
    <w:rsid w:val="00E859E2"/>
    <w:rsid w:val="00E9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AE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7EA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uk-UA" w:eastAsia="zh-CN"/>
    </w:rPr>
  </w:style>
  <w:style w:type="character" w:customStyle="1" w:styleId="a4">
    <w:name w:val="Основний текст Знак"/>
    <w:basedOn w:val="a0"/>
    <w:link w:val="a3"/>
    <w:semiHidden/>
    <w:rsid w:val="00A87EAE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A8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7EAE"/>
    <w:rPr>
      <w:rFonts w:ascii="Tahoma" w:hAnsi="Tahoma" w:cs="Tahoma"/>
      <w:sz w:val="16"/>
      <w:szCs w:val="16"/>
      <w:lang w:val="ru-RU"/>
    </w:rPr>
  </w:style>
  <w:style w:type="paragraph" w:styleId="a7">
    <w:name w:val="List Paragraph"/>
    <w:basedOn w:val="a"/>
    <w:uiPriority w:val="34"/>
    <w:qFormat/>
    <w:rsid w:val="00D90B02"/>
    <w:pPr>
      <w:ind w:left="720"/>
      <w:contextualSpacing/>
    </w:pPr>
  </w:style>
  <w:style w:type="paragraph" w:customStyle="1" w:styleId="rvps1">
    <w:name w:val="rvps1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D90B02"/>
  </w:style>
  <w:style w:type="paragraph" w:customStyle="1" w:styleId="rvps4">
    <w:name w:val="rvps4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D90B02"/>
  </w:style>
  <w:style w:type="paragraph" w:customStyle="1" w:styleId="rvps7">
    <w:name w:val="rvps7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D90B02"/>
  </w:style>
  <w:style w:type="paragraph" w:customStyle="1" w:styleId="rvps14">
    <w:name w:val="rvps14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EAE"/>
    <w:pPr>
      <w:spacing w:after="160"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87EAE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uk-UA" w:eastAsia="zh-CN"/>
    </w:rPr>
  </w:style>
  <w:style w:type="character" w:customStyle="1" w:styleId="a4">
    <w:name w:val="Основний текст Знак"/>
    <w:basedOn w:val="a0"/>
    <w:link w:val="a3"/>
    <w:semiHidden/>
    <w:rsid w:val="00A87EAE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A87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87EAE"/>
    <w:rPr>
      <w:rFonts w:ascii="Tahoma" w:hAnsi="Tahoma" w:cs="Tahoma"/>
      <w:sz w:val="16"/>
      <w:szCs w:val="16"/>
      <w:lang w:val="ru-RU"/>
    </w:rPr>
  </w:style>
  <w:style w:type="paragraph" w:styleId="a7">
    <w:name w:val="List Paragraph"/>
    <w:basedOn w:val="a"/>
    <w:uiPriority w:val="34"/>
    <w:qFormat/>
    <w:rsid w:val="00D90B02"/>
    <w:pPr>
      <w:ind w:left="720"/>
      <w:contextualSpacing/>
    </w:pPr>
  </w:style>
  <w:style w:type="paragraph" w:customStyle="1" w:styleId="rvps1">
    <w:name w:val="rvps1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15">
    <w:name w:val="rvts15"/>
    <w:basedOn w:val="a0"/>
    <w:rsid w:val="00D90B02"/>
  </w:style>
  <w:style w:type="paragraph" w:customStyle="1" w:styleId="rvps4">
    <w:name w:val="rvps4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23">
    <w:name w:val="rvts23"/>
    <w:basedOn w:val="a0"/>
    <w:rsid w:val="00D90B02"/>
  </w:style>
  <w:style w:type="paragraph" w:customStyle="1" w:styleId="rvps7">
    <w:name w:val="rvps7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9">
    <w:name w:val="rvts9"/>
    <w:basedOn w:val="a0"/>
    <w:rsid w:val="00D90B02"/>
  </w:style>
  <w:style w:type="paragraph" w:customStyle="1" w:styleId="rvps14">
    <w:name w:val="rvps14"/>
    <w:basedOn w:val="a"/>
    <w:rsid w:val="00D90B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84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251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5822</Words>
  <Characters>3319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18</cp:revision>
  <cp:lastPrinted>2023-09-07T08:15:00Z</cp:lastPrinted>
  <dcterms:created xsi:type="dcterms:W3CDTF">2023-07-25T07:57:00Z</dcterms:created>
  <dcterms:modified xsi:type="dcterms:W3CDTF">2023-09-07T09:04:00Z</dcterms:modified>
</cp:coreProperties>
</file>