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B9B" w:rsidRDefault="00F42B9B" w:rsidP="00F42B9B">
      <w:pPr>
        <w:rPr>
          <w:sz w:val="28"/>
          <w:szCs w:val="28"/>
        </w:rPr>
      </w:pPr>
      <w:r>
        <w:t xml:space="preserve">                                                                                </w:t>
      </w:r>
      <w:r>
        <w:rPr>
          <w:noProof/>
          <w:spacing w:val="8"/>
          <w:lang w:eastAsia="uk-UA"/>
        </w:rPr>
        <w:drawing>
          <wp:inline distT="0" distB="0" distL="0" distR="0" wp14:anchorId="27AF063B" wp14:editId="008EDE8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B9B" w:rsidRDefault="00F42B9B" w:rsidP="00F42B9B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42B9B" w:rsidRDefault="00F42B9B" w:rsidP="00F42B9B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42B9B" w:rsidRDefault="00F42B9B" w:rsidP="00F42B9B">
      <w:pPr>
        <w:pStyle w:val="a5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42B9B" w:rsidRDefault="00F42B9B" w:rsidP="00F42B9B">
      <w:pPr>
        <w:pStyle w:val="a5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42B9B" w:rsidRDefault="00F42B9B" w:rsidP="00F42B9B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F42B9B" w:rsidRPr="00F42B9B" w:rsidRDefault="00F42B9B" w:rsidP="00F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42B9B">
        <w:rPr>
          <w:rFonts w:ascii="Times New Roman" w:hAnsi="Times New Roman" w:cs="Times New Roman"/>
          <w:sz w:val="28"/>
          <w:szCs w:val="28"/>
          <w:u w:val="single"/>
        </w:rPr>
        <w:t>30 листопада  2023 р. №15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</w:p>
    <w:p w:rsidR="00F42B9B" w:rsidRPr="00F42B9B" w:rsidRDefault="00F42B9B" w:rsidP="00F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B9B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F42B9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42B9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F42B9B" w:rsidRDefault="00F42B9B" w:rsidP="00F42B9B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42B9B" w:rsidRDefault="00F42B9B" w:rsidP="00F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Програму благоустрою</w:t>
      </w:r>
    </w:p>
    <w:p w:rsidR="00F42B9B" w:rsidRDefault="00F42B9B" w:rsidP="00F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селищній раді </w:t>
      </w:r>
    </w:p>
    <w:p w:rsidR="00F42B9B" w:rsidRPr="00F42B9B" w:rsidRDefault="00F42B9B" w:rsidP="00F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рік</w:t>
      </w:r>
    </w:p>
    <w:p w:rsidR="00F42B9B" w:rsidRDefault="00F42B9B" w:rsidP="00F42B9B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2B9B" w:rsidRPr="00F42B9B" w:rsidRDefault="00F42B9B" w:rsidP="00F42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2B9B">
        <w:rPr>
          <w:rFonts w:ascii="Times New Roman" w:hAnsi="Times New Roman" w:cs="Times New Roman"/>
          <w:sz w:val="28"/>
          <w:szCs w:val="28"/>
        </w:rPr>
        <w:tab/>
        <w:t xml:space="preserve">Заслухавши інформацію начальника </w:t>
      </w:r>
      <w:proofErr w:type="spellStart"/>
      <w:r w:rsidRPr="00F42B9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F42B9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житлового-комунального господарства Степана Поляка  про </w:t>
      </w:r>
      <w:r w:rsidRPr="00F42B9B">
        <w:rPr>
          <w:rFonts w:ascii="Times New Roman" w:hAnsi="Times New Roman" w:cs="Times New Roman"/>
          <w:bCs/>
          <w:sz w:val="28"/>
          <w:szCs w:val="28"/>
        </w:rPr>
        <w:t xml:space="preserve"> Програму </w:t>
      </w:r>
      <w:r>
        <w:rPr>
          <w:rFonts w:ascii="Times New Roman" w:hAnsi="Times New Roman" w:cs="Times New Roman"/>
          <w:bCs/>
          <w:sz w:val="28"/>
          <w:szCs w:val="28"/>
        </w:rPr>
        <w:t xml:space="preserve">благоустрою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селищній раді на 2024 рік </w:t>
      </w:r>
      <w:r w:rsidRPr="00F42B9B">
        <w:rPr>
          <w:rFonts w:ascii="Times New Roman" w:hAnsi="Times New Roman" w:cs="Times New Roman"/>
          <w:sz w:val="28"/>
          <w:szCs w:val="28"/>
        </w:rPr>
        <w:t>відповідно до статей 27, 51, 52  Закону України «Про місцеве самоврядування в Україні»</w:t>
      </w:r>
    </w:p>
    <w:p w:rsidR="00F42B9B" w:rsidRPr="00F42B9B" w:rsidRDefault="00F42B9B" w:rsidP="00F42B9B">
      <w:pPr>
        <w:autoSpaceDE w:val="0"/>
        <w:autoSpaceDN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42B9B" w:rsidRPr="00F42B9B" w:rsidRDefault="00F42B9B" w:rsidP="00F42B9B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B9B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42B9B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42B9B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F42B9B" w:rsidRPr="00F42B9B" w:rsidRDefault="00F42B9B" w:rsidP="00F42B9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B9B">
        <w:rPr>
          <w:rFonts w:ascii="Times New Roman" w:hAnsi="Times New Roman" w:cs="Times New Roman"/>
          <w:sz w:val="28"/>
          <w:szCs w:val="28"/>
        </w:rPr>
        <w:t xml:space="preserve">1. Схвалити </w:t>
      </w:r>
      <w:proofErr w:type="spellStart"/>
      <w:r w:rsidRPr="00F42B9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F42B9B">
        <w:rPr>
          <w:rFonts w:ascii="Times New Roman" w:hAnsi="Times New Roman" w:cs="Times New Roman"/>
          <w:sz w:val="28"/>
          <w:szCs w:val="28"/>
        </w:rPr>
        <w:t xml:space="preserve"> </w:t>
      </w:r>
      <w:r w:rsidRPr="00F42B9B">
        <w:rPr>
          <w:rFonts w:ascii="Times New Roman" w:hAnsi="Times New Roman" w:cs="Times New Roman"/>
          <w:bCs/>
          <w:sz w:val="28"/>
          <w:szCs w:val="28"/>
        </w:rPr>
        <w:t>Програм</w:t>
      </w:r>
      <w:r>
        <w:rPr>
          <w:rFonts w:ascii="Times New Roman" w:hAnsi="Times New Roman" w:cs="Times New Roman"/>
          <w:bCs/>
          <w:sz w:val="28"/>
          <w:szCs w:val="28"/>
        </w:rPr>
        <w:t xml:space="preserve">и  </w:t>
      </w:r>
      <w:r w:rsidRPr="00F42B9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благоустрою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Старовижівській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селищній раді на 2024 рік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42B9B" w:rsidRPr="00F42B9B" w:rsidRDefault="00F42B9B" w:rsidP="00F42B9B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B9B">
        <w:rPr>
          <w:rFonts w:ascii="Times New Roman" w:hAnsi="Times New Roman" w:cs="Times New Roman"/>
          <w:sz w:val="28"/>
          <w:szCs w:val="28"/>
        </w:rPr>
        <w:t xml:space="preserve">2. Доручити селищному голові подати </w:t>
      </w:r>
      <w:proofErr w:type="spellStart"/>
      <w:r w:rsidRPr="00F42B9B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F42B9B">
        <w:rPr>
          <w:rFonts w:ascii="Times New Roman" w:hAnsi="Times New Roman" w:cs="Times New Roman"/>
          <w:sz w:val="28"/>
          <w:szCs w:val="28"/>
        </w:rPr>
        <w:t xml:space="preserve"> Програми на розгляд сесії селищної ради.</w:t>
      </w:r>
    </w:p>
    <w:p w:rsidR="00F42B9B" w:rsidRPr="00F42B9B" w:rsidRDefault="00F42B9B" w:rsidP="00F42B9B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2B9B" w:rsidRPr="00F42B9B" w:rsidRDefault="00F42B9B" w:rsidP="00F42B9B">
      <w:pPr>
        <w:autoSpaceDE w:val="0"/>
        <w:autoSpaceDN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42B9B" w:rsidRPr="00F42B9B" w:rsidRDefault="00F42B9B" w:rsidP="00F42B9B">
      <w:pPr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</w:p>
    <w:p w:rsidR="00F42B9B" w:rsidRPr="00F42B9B" w:rsidRDefault="00F42B9B" w:rsidP="00F42B9B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  <w:r w:rsidRPr="00F42B9B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Василь КАМІНСЬКИЙ</w:t>
      </w:r>
    </w:p>
    <w:p w:rsidR="00F42B9B" w:rsidRPr="00F42B9B" w:rsidRDefault="00F42B9B" w:rsidP="00F42B9B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F42B9B">
        <w:rPr>
          <w:rFonts w:ascii="Times New Roman" w:hAnsi="Times New Roman" w:cs="Times New Roman"/>
          <w:sz w:val="24"/>
          <w:szCs w:val="24"/>
        </w:rPr>
        <w:t>Степан Поляк</w:t>
      </w:r>
    </w:p>
    <w:p w:rsidR="00F42B9B" w:rsidRPr="00F42B9B" w:rsidRDefault="00F42B9B" w:rsidP="00F42B9B">
      <w:pPr>
        <w:autoSpaceDE w:val="0"/>
        <w:autoSpaceDN w:val="0"/>
        <w:rPr>
          <w:rFonts w:ascii="Times New Roman" w:hAnsi="Times New Roman" w:cs="Times New Roman"/>
          <w:sz w:val="28"/>
          <w:szCs w:val="28"/>
        </w:rPr>
      </w:pPr>
    </w:p>
    <w:p w:rsidR="00F42B9B" w:rsidRDefault="00F42B9B" w:rsidP="00F42B9B">
      <w:pPr>
        <w:autoSpaceDE w:val="0"/>
        <w:autoSpaceDN w:val="0"/>
      </w:pPr>
    </w:p>
    <w:p w:rsidR="00F42B9B" w:rsidRDefault="00F42B9B" w:rsidP="00F42B9B">
      <w:pPr>
        <w:autoSpaceDE w:val="0"/>
        <w:autoSpaceDN w:val="0"/>
      </w:pPr>
    </w:p>
    <w:p w:rsidR="00F42B9B" w:rsidRDefault="00F42B9B" w:rsidP="00F42B9B">
      <w:pPr>
        <w:autoSpaceDE w:val="0"/>
        <w:autoSpaceDN w:val="0"/>
      </w:pPr>
    </w:p>
    <w:p w:rsidR="00F42B9B" w:rsidRDefault="00F42B9B" w:rsidP="00F42B9B">
      <w:pPr>
        <w:autoSpaceDE w:val="0"/>
        <w:autoSpaceDN w:val="0"/>
      </w:pPr>
    </w:p>
    <w:p w:rsidR="00F42B9B" w:rsidRPr="00343000" w:rsidRDefault="00F42B9B" w:rsidP="00F42B9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           </w:t>
      </w:r>
      <w:r w:rsidRPr="00343000">
        <w:rPr>
          <w:rFonts w:ascii="Times New Roman" w:hAnsi="Times New Roman" w:cs="Times New Roman"/>
          <w:sz w:val="28"/>
          <w:szCs w:val="28"/>
          <w:lang w:val="uk-UA"/>
        </w:rPr>
        <w:t>СХВАЛЕНО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</w:t>
      </w:r>
    </w:p>
    <w:p w:rsidR="00F42B9B" w:rsidRPr="00343000" w:rsidRDefault="00F42B9B" w:rsidP="00F42B9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 w:rsidRPr="0034300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Рішення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:rsidR="00F42B9B" w:rsidRDefault="00F42B9B" w:rsidP="00F42B9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комітету се</w:t>
      </w:r>
      <w:r w:rsidRPr="00343000">
        <w:rPr>
          <w:rFonts w:ascii="Times New Roman" w:hAnsi="Times New Roman" w:cs="Times New Roman"/>
          <w:sz w:val="28"/>
          <w:szCs w:val="28"/>
          <w:lang w:val="uk-UA"/>
        </w:rPr>
        <w:t xml:space="preserve">лищної ради </w:t>
      </w:r>
    </w:p>
    <w:p w:rsidR="00F42B9B" w:rsidRPr="00343000" w:rsidRDefault="00F42B9B" w:rsidP="00F42B9B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30.11.2023 р. №15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2B9B" w:rsidRDefault="00F42B9B" w:rsidP="00F42B9B"/>
    <w:p w:rsidR="00F42B9B" w:rsidRDefault="00F42B9B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2B9B" w:rsidRDefault="00F42B9B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42B9B" w:rsidRDefault="00F42B9B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42B9B" w:rsidP="00F73E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F73E13">
        <w:rPr>
          <w:rFonts w:ascii="Times New Roman" w:hAnsi="Times New Roman" w:cs="Times New Roman"/>
          <w:b/>
          <w:sz w:val="28"/>
          <w:szCs w:val="28"/>
          <w:lang w:val="uk-UA"/>
        </w:rPr>
        <w:t>РОГРАМА</w:t>
      </w: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благоустрою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 на 2024</w:t>
      </w:r>
      <w:r w:rsidR="00F42B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рік</w:t>
      </w: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Паспорт Програми</w:t>
      </w: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817"/>
        <w:gridCol w:w="4536"/>
        <w:gridCol w:w="4218"/>
      </w:tblGrid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селищна рада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2024рік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Всього,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highlight w:val="yellow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3 750  000, 00 гривень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Коштів селищного бюджету на виконання робіт  по благоустрою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2 430 000,00 гривень</w:t>
            </w:r>
          </w:p>
        </w:tc>
      </w:tr>
      <w:tr w:rsidR="00F73E13" w:rsidTr="00F73E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Коштів селищного бюджету на витрати по благоустрою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ВУЖКГ:</w:t>
            </w:r>
          </w:p>
          <w:p w:rsidR="00F73E13" w:rsidRDefault="00F73E13" w:rsidP="0052172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Заробітна плата (5,5шт.одиниць);</w:t>
            </w:r>
          </w:p>
          <w:p w:rsidR="00F73E13" w:rsidRDefault="00F73E13" w:rsidP="0052172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Нарахування на заробітну плату 22%;</w:t>
            </w:r>
          </w:p>
          <w:p w:rsidR="00F73E13" w:rsidRDefault="00F73E13" w:rsidP="0052172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Електроенергія на вуличне освітлення по смт. Стара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сіл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Брідки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Мельники (12тис.кВт.год)</w:t>
            </w:r>
          </w:p>
          <w:p w:rsidR="00F73E13" w:rsidRDefault="00F73E13" w:rsidP="0052172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Матеріали та запчастини;</w:t>
            </w:r>
          </w:p>
          <w:p w:rsidR="00F73E13" w:rsidRDefault="00F73E13" w:rsidP="0052172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Загальновиробничі витрати;</w:t>
            </w:r>
          </w:p>
          <w:p w:rsidR="00F73E13" w:rsidRDefault="00F73E13" w:rsidP="00521720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ПДВ 20%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1 320 000,00 гривень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611 000,00 гривень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134 000,00 гривень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85 000,00 гривень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55 000,00 гривень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220 000,00 гривень</w:t>
            </w: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220 000,00 гривень</w:t>
            </w:r>
          </w:p>
        </w:tc>
      </w:tr>
    </w:tbl>
    <w:p w:rsidR="00F73E13" w:rsidRDefault="00F73E13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Вступ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останні роки в населених пунктах селищної ради накопичилось безліч проблем у сфері благоустрою, які потребують термінового вирішення.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Необхідно забезпечити виконання робіт із благоустрою, із санітарного очищення, проведення робіт з утримання дорожньо-мостового господарства, боротьби зі стихійними сміттєзвалищами, здійснення заходів щодо належного поводження з твердими побутовими відходами, тощо. У бюджеті частково закладено кошти для реалізації Програм з благоустрою, але важливо також  залучення коштів інвесторів, спонсорів, залучення підрядних організацій для виконання робіт, всебічне сприяння приватним підприємцям і фірмам щодо організації підприємств по збору, вивозу та переробки і утилізації твердих побутових відходів, ремонту й обслуговування дорожньо-мостового господарства, озеленення території, вуличного освітлення, малих архітектурних форм, тощо. На сучасному етапі вирішальне значення має впровадження нових інноваційних науково обґрунтованих підходів та методів підвищення ефективності системи благоустрою населених пунктів.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Загальні положення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Програма благоустрою розроблена на виконання Законів України «Про місцеве самоврядування в Україні», «Про благоустрій населених пунктів», «Про охорону навколишнього природного середовища», «Про відходи», «Про охорону атмосферного повітря», «Про охорону і використання пам’ятників історії і культури».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Заходи по благоустрою та покращенню санітарного стану населених пунктів ради здійснюється в інтересах жителів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з метою покращення екологічної, демографічної ситуації, створення умов для культурного, оздоровчого, фізичного, освітнього та духовного розвитку мешканців громади.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 Мета та основні завдання Програми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Метою Програми є організація робіт з соціального-економічних, організаційно-правових та екологічних заходів, що здійснюються на території населених пунктів, з метою її раціонального використання, належного утримання та охорони, створення умов щодо захисту і відновлення сприятливого для життєдіяльності людини і довкілля.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благоустрою населених пунктів ТГ;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підтримання санітарного стану підвідомчої території на належному рівні;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забезпечення своєчасного будівництва, реконструкції та ремонту доріг;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покращення транспортного обслуговування населення;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підтримання належного благоустрою навколо шкільних та дошкільних навчальних закладів;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вирішення питань збирання (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роздільного) сміття, транспортування, утилізації твердих побутових відходів та сміття і на цій основі покращення санітарного стану населених пунктів;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впорядкування кладовищ, братських могил, пам’ятних знаків;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освітлення вулиць (будівництво та відновлення вуличного освітлення);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проведення озеленення населених пунктів.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проведення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експлуатації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фонду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придбання основних засобів для  поліпшення благоустрою населених пунктів ТГ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оплати суспільно – корисних  робіт для  відбування  покарання за  рішенням  суду</w:t>
      </w:r>
    </w:p>
    <w:p w:rsidR="00F73E13" w:rsidRDefault="00F73E13" w:rsidP="00F73E1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усунення та попередження наслідків підтоплень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</w:t>
      </w:r>
    </w:p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Виконавці Програми:</w:t>
      </w:r>
    </w:p>
    <w:p w:rsidR="00F73E13" w:rsidRDefault="00F73E13" w:rsidP="00F73E1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виконком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ради;</w:t>
      </w:r>
    </w:p>
    <w:p w:rsidR="00F73E13" w:rsidRDefault="00F73E13" w:rsidP="00F73E1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ВУЖКГ;</w:t>
      </w:r>
    </w:p>
    <w:p w:rsidR="00F73E13" w:rsidRDefault="00F73E13" w:rsidP="00F73E1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підрядні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дорожньо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- будівельні організації;</w:t>
      </w:r>
    </w:p>
    <w:p w:rsidR="00F73E13" w:rsidRDefault="00F73E13" w:rsidP="00F73E1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підприємства, територіально підпорядковані селищній раді;</w:t>
      </w:r>
    </w:p>
    <w:p w:rsidR="00F73E13" w:rsidRDefault="00F73E13" w:rsidP="00F73E13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домовласники.</w:t>
      </w:r>
    </w:p>
    <w:p w:rsidR="00F73E13" w:rsidRDefault="00F73E13" w:rsidP="00F73E13">
      <w:pPr>
        <w:pStyle w:val="a3"/>
        <w:ind w:left="213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 Фінансове забезпечення Програми</w:t>
      </w:r>
    </w:p>
    <w:p w:rsidR="00F73E13" w:rsidRDefault="00F73E13" w:rsidP="00F73E13">
      <w:pPr>
        <w:pStyle w:val="a3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Фінансування заходів з виконання Програми благоустрою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на 2024 рік, утримання та ремонту об’єктів благоустрою здійснюється за рахунок коштів селищного бюджету територіальної громади або користувачів, якщо це передбачено умовами відповідних договорів, а також за рахунок пайових внесків власників будівель і споруд, розміщених на території об’єкта благоустрою, інших джерел фінансування.</w:t>
      </w:r>
    </w:p>
    <w:p w:rsidR="00F73E13" w:rsidRDefault="00F73E13" w:rsidP="00F73E13">
      <w:pPr>
        <w:pStyle w:val="a3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Видатки на виконання заходів Програми із місцевого бюджету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передбачатимуться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формуванні показників селищного бюджету, виходячи з реальних можливостей.</w:t>
      </w:r>
    </w:p>
    <w:p w:rsidR="00F73E13" w:rsidRDefault="00F73E13" w:rsidP="00F73E13">
      <w:pPr>
        <w:pStyle w:val="a3"/>
        <w:ind w:left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Обсяги фінансування на 2024 рік становлять 3 750 000гривень</w:t>
      </w:r>
    </w:p>
    <w:p w:rsidR="00F73E13" w:rsidRDefault="00F73E13" w:rsidP="00F73E13">
      <w:pPr>
        <w:pStyle w:val="a3"/>
        <w:ind w:left="1276" w:firstLine="7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них:</w:t>
      </w:r>
    </w:p>
    <w:p w:rsidR="00F73E13" w:rsidRDefault="00F73E13" w:rsidP="00F73E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коштів селищного бюджету на виконання робіт  по благоустрою –        2 430 000,00грн. (два мільйони чотириста тридцять тисяч гривень)</w:t>
      </w:r>
    </w:p>
    <w:p w:rsidR="00F73E13" w:rsidRDefault="00F73E13" w:rsidP="00F73E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коштів селищного бюджету на витрати по благоустрою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ВУЖКГ, які виділяються помісячним фінансуванням – 1 320 000,00грн.(один мільйон триста двадцять тисяч гривень);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План заходів до Програми, а також розподіл використання коштів на виконання робіт по благоустрою на 2024 рік по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наведено в розділі 6.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Кошторис витрат по благоустрою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 на 2024 рік наведено в розділі 7.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 внесенні змін до селищного бюджету впродовж року можливі зміни, як в сторону збільшення так і в сторону зменшення видатків на цю Програму, в залежності від надходжень до бюджету та виконання ВУЖКГ поставлених селищною радою завдань.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І.План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заходів до Програми благоустрою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селищній раді на 2024 рік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664"/>
        <w:gridCol w:w="5953"/>
        <w:gridCol w:w="2233"/>
      </w:tblGrid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послуги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Всього коштів на рік,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тис.грн</w:t>
            </w:r>
            <w:proofErr w:type="spellEnd"/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Утримання доріг в зимовий період (очищення доріг  та тротуарів від снігу, обробка доріг та тротуарів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антиожеледними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сумішами)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Збирання, вивезення вуличного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змету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, сміття, листя з території доріг, тротуарів та місць їх стихійного утворення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Озеленення територій (косіння газонів, висадка, полив дерев та квітів, підсів трави)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Благоустрій кладовищ 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Очищення зливової каналізаційної мережі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Благоустрій дитячих майданчиків та зон відпочинку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75,0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Кронування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 дерев липи, підрізка дерев, кущів, обрізування та вивезення гілля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125,0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Ліквідація стихійних сміттєзвалищ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Зрізування аварійних та сухих дерев в селах громади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Ямковий ремонт вулиць з щебеневим покриттям  (підсипання відсіву)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 xml:space="preserve">Ремонт та встановлення дорожніх знаків та в’їзного знаку «Стара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Оздоблення новорічної ялинки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k-UA"/>
              </w:rPr>
              <w:t>Обслуговування вуличного освітлення та ремонт камер відеоспостереження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Оплати суспільно – корисних  робіт для  відбування  покарання за  рішенням  суду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 основних засобів 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ВУЖКГ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Ремонт каналізаційних систем по вул. Заводська,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Карбишева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Забілицька</w:t>
            </w:r>
            <w:proofErr w:type="spellEnd"/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Часткова заміна водопроводу по вулиці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Карбишева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Усунення та попередження наслідків підтоплень в населених пунктах громади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 роботи з благоустрою сіл, селища громади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100,0</w:t>
            </w:r>
          </w:p>
        </w:tc>
      </w:tr>
      <w:tr w:rsidR="00F73E13" w:rsidTr="00F73E13"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2430,0</w:t>
            </w:r>
          </w:p>
        </w:tc>
      </w:tr>
    </w:tbl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3E13" w:rsidRDefault="00F73E13" w:rsidP="00F73E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сума видатків по наданню послуг  по благоустрою на 2024 рік становить 2430,0 тис. грн.(два мільйони чотириста тридцять  тисяч гривень)</w:t>
      </w:r>
    </w:p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Кошторис витрат по благоустрою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СтаровижівськогоВУЖКГ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2024 рік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779"/>
        <w:gridCol w:w="5312"/>
        <w:gridCol w:w="3044"/>
      </w:tblGrid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робіт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сума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Заробітна плата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611 000,00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Нарахування на заробітну плату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134 000,00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Електроенергія на вуличне освітлення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80 000,00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Матеріали та запчастини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55 000,00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 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880 000,00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Загальновиробничі витрати 25%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220 000,00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ПДВ 20%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220 000,00</w:t>
            </w:r>
          </w:p>
        </w:tc>
      </w:tr>
      <w:tr w:rsidR="00F73E13" w:rsidTr="00F73E13"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НА РІК: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E13" w:rsidRDefault="00F73E1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1 320 000,00</w:t>
            </w:r>
          </w:p>
        </w:tc>
      </w:tr>
    </w:tbl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73E13" w:rsidRDefault="00F73E13" w:rsidP="00F73E13">
      <w:pPr>
        <w:pStyle w:val="a3"/>
        <w:ind w:left="720" w:firstLine="69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ІІІ.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Очікувані результати виконання Програми</w:t>
      </w:r>
    </w:p>
    <w:p w:rsidR="00F73E13" w:rsidRDefault="00F73E13" w:rsidP="00F73E13">
      <w:pPr>
        <w:pStyle w:val="a3"/>
        <w:ind w:left="720" w:firstLine="6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Виконання Програми дасть можливість забезпечити: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збереження стану об’єктів загального користування, історико-культурного, природоохоронного та іншого призначення, а також природних ландшафтів, рекреаційних зон;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утримання комунальних доріг;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поліпшення санітарного стану навколишнього природнього середовища населених пунктів селищної ради та створення кращих умов для життєдіяльності її мешканців;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зменшення шкідливого впливу побутових відходів на навколишнє природнє середовище та здоров’я людини;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підвищення рівня якості послуг, що надаються населенню з питань благоустрою та санітарного очищення;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покращення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експлуатації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технічного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обслуговування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житлового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фонду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оновлення  матеріально технічної бази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ВУЖКГ</w:t>
      </w:r>
    </w:p>
    <w:p w:rsidR="00F73E13" w:rsidRDefault="00F73E13" w:rsidP="00F73E13">
      <w:pPr>
        <w:pStyle w:val="a3"/>
        <w:numPr>
          <w:ilvl w:val="0"/>
          <w:numId w:val="4"/>
        </w:numPr>
        <w:ind w:left="113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умов для очищення населених пунктів від забруднення побутовими відходами та ін.</w:t>
      </w:r>
    </w:p>
    <w:p w:rsidR="00F42B9B" w:rsidRDefault="00F73E13" w:rsidP="00F42B9B">
      <w:pPr>
        <w:pStyle w:val="a3"/>
        <w:ind w:left="141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Координацію та контроль за виконанням Програми здійснює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постійна комісія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</w:t>
      </w:r>
    </w:p>
    <w:p w:rsidR="00F73E13" w:rsidRPr="00F42B9B" w:rsidRDefault="00F73E13" w:rsidP="00F42B9B">
      <w:pPr>
        <w:pStyle w:val="a3"/>
        <w:ind w:left="141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42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E13" w:rsidRPr="00F42B9B" w:rsidRDefault="00F73E13" w:rsidP="00F73E13">
      <w:pPr>
        <w:rPr>
          <w:rFonts w:ascii="Times New Roman" w:hAnsi="Times New Roman" w:cs="Times New Roman"/>
          <w:sz w:val="24"/>
          <w:szCs w:val="24"/>
        </w:rPr>
      </w:pPr>
      <w:r w:rsidRPr="00F42B9B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F42B9B">
        <w:rPr>
          <w:rFonts w:ascii="Times New Roman" w:hAnsi="Times New Roman" w:cs="Times New Roman"/>
          <w:sz w:val="24"/>
          <w:szCs w:val="24"/>
        </w:rPr>
        <w:t>Старовижівського</w:t>
      </w:r>
      <w:proofErr w:type="spellEnd"/>
      <w:r w:rsidRPr="00F42B9B">
        <w:rPr>
          <w:rFonts w:ascii="Times New Roman" w:hAnsi="Times New Roman" w:cs="Times New Roman"/>
          <w:sz w:val="24"/>
          <w:szCs w:val="24"/>
        </w:rPr>
        <w:t xml:space="preserve"> ВУЖКГ                                       Степан ПОЛЯК</w:t>
      </w:r>
    </w:p>
    <w:p w:rsidR="00F73E13" w:rsidRDefault="00F73E13" w:rsidP="00F73E13"/>
    <w:p w:rsidR="00F73E13" w:rsidRDefault="00F73E13" w:rsidP="00F73E13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9447C"/>
    <w:multiLevelType w:val="hybridMultilevel"/>
    <w:tmpl w:val="1EFAB6FA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48FD5968"/>
    <w:multiLevelType w:val="hybridMultilevel"/>
    <w:tmpl w:val="434E75E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50CD15EC"/>
    <w:multiLevelType w:val="hybridMultilevel"/>
    <w:tmpl w:val="6A6C4DEE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>
    <w:nsid w:val="66FF1756"/>
    <w:multiLevelType w:val="hybridMultilevel"/>
    <w:tmpl w:val="80B88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26"/>
    <w:rsid w:val="00247766"/>
    <w:rsid w:val="0062732E"/>
    <w:rsid w:val="007336D5"/>
    <w:rsid w:val="007F0726"/>
    <w:rsid w:val="00F42B9B"/>
    <w:rsid w:val="00F7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13"/>
    <w:pPr>
      <w:spacing w:after="160" w:line="254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3E1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F73E1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F42B9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Основний текст Знак"/>
    <w:basedOn w:val="a0"/>
    <w:link w:val="a5"/>
    <w:rsid w:val="00F42B9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42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42B9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13"/>
    <w:pPr>
      <w:spacing w:after="160" w:line="254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3E13"/>
    <w:pPr>
      <w:spacing w:after="0" w:line="240" w:lineRule="auto"/>
    </w:pPr>
    <w:rPr>
      <w:lang w:val="ru-RU"/>
    </w:rPr>
  </w:style>
  <w:style w:type="table" w:styleId="a4">
    <w:name w:val="Table Grid"/>
    <w:basedOn w:val="a1"/>
    <w:uiPriority w:val="59"/>
    <w:rsid w:val="00F73E1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F42B9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a6">
    <w:name w:val="Основний текст Знак"/>
    <w:basedOn w:val="a0"/>
    <w:link w:val="a5"/>
    <w:rsid w:val="00F42B9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42B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42B9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6859</Words>
  <Characters>3911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2023-11-29T09:33:00Z</cp:lastPrinted>
  <dcterms:created xsi:type="dcterms:W3CDTF">2023-11-28T08:48:00Z</dcterms:created>
  <dcterms:modified xsi:type="dcterms:W3CDTF">2023-11-29T09:34:00Z</dcterms:modified>
</cp:coreProperties>
</file>