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C1969" w14:textId="77777777" w:rsidR="00452D25" w:rsidRDefault="00A34A2A" w:rsidP="0091611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Пояснювальна</w:t>
      </w:r>
      <w:r w:rsidR="0091611F" w:rsidRPr="0091611F">
        <w:rPr>
          <w:rFonts w:ascii="Times New Roman" w:hAnsi="Times New Roman" w:cs="Times New Roman"/>
          <w:sz w:val="36"/>
          <w:szCs w:val="36"/>
          <w:lang w:val="uk-UA"/>
        </w:rPr>
        <w:t xml:space="preserve"> записка</w:t>
      </w:r>
    </w:p>
    <w:p w14:paraId="3207A1D8" w14:textId="5E9BA64F" w:rsidR="00DB500C" w:rsidRDefault="00853EAC" w:rsidP="002621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до</w:t>
      </w:r>
      <w:r w:rsidR="00A34A2A">
        <w:rPr>
          <w:rFonts w:ascii="Times New Roman" w:hAnsi="Times New Roman" w:cs="Times New Roman"/>
          <w:sz w:val="36"/>
          <w:szCs w:val="36"/>
          <w:lang w:val="uk-UA"/>
        </w:rPr>
        <w:t xml:space="preserve"> фінансового плану</w:t>
      </w:r>
      <w:r w:rsidR="00FB221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D75557">
        <w:rPr>
          <w:rFonts w:ascii="Times New Roman" w:hAnsi="Times New Roman" w:cs="Times New Roman"/>
          <w:sz w:val="36"/>
          <w:szCs w:val="36"/>
          <w:lang w:val="uk-UA"/>
        </w:rPr>
        <w:t>на 202</w:t>
      </w:r>
      <w:r w:rsidR="00B36342">
        <w:rPr>
          <w:rFonts w:ascii="Times New Roman" w:hAnsi="Times New Roman" w:cs="Times New Roman"/>
          <w:sz w:val="36"/>
          <w:szCs w:val="36"/>
          <w:lang w:val="uk-UA"/>
        </w:rPr>
        <w:t>4</w:t>
      </w:r>
      <w:r w:rsidR="00A34A2A">
        <w:rPr>
          <w:rFonts w:ascii="Times New Roman" w:hAnsi="Times New Roman" w:cs="Times New Roman"/>
          <w:sz w:val="36"/>
          <w:szCs w:val="36"/>
          <w:lang w:val="uk-UA"/>
        </w:rPr>
        <w:t xml:space="preserve"> рік</w:t>
      </w:r>
    </w:p>
    <w:p w14:paraId="69D8A6FF" w14:textId="77777777" w:rsidR="001C01AB" w:rsidRPr="008754C6" w:rsidRDefault="001C01AB" w:rsidP="002621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78B6213" w14:textId="77777777" w:rsidR="0091611F" w:rsidRPr="004B75D1" w:rsidRDefault="008754C6" w:rsidP="00916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91611F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Основн</w:t>
      </w:r>
      <w:r w:rsidR="00596B19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ою метою діяльності КНП «</w:t>
      </w:r>
      <w:proofErr w:type="spellStart"/>
      <w:r w:rsidR="00596B19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Старовижівський</w:t>
      </w:r>
      <w:proofErr w:type="spellEnd"/>
      <w:r w:rsidR="00596B19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ЦПМД»</w:t>
      </w:r>
      <w:r w:rsidR="0091611F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 забезпечення медичного обслуговування населення шляхом надання йому медичних послуг в порядку та обсязі, встановлених законодавством.</w:t>
      </w:r>
    </w:p>
    <w:p w14:paraId="793E39C8" w14:textId="77777777" w:rsidR="0091611F" w:rsidRPr="004B75D1" w:rsidRDefault="0091611F" w:rsidP="00916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Предметом діяльності Підприємства є:</w:t>
      </w:r>
    </w:p>
    <w:p w14:paraId="633BA76A" w14:textId="77777777" w:rsidR="0091611F" w:rsidRPr="004B75D1" w:rsidRDefault="0091611F" w:rsidP="0091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- організація надання первинної медичної  допомоги, у тому числі  надання невідкладної медичної допомоги в разі гострого розладу фізичного чи психічного здоров’я  пацієнтам, які не потребують екстреної,  вторинної ( спеціалізованої або третинної (високоспеціалізованої) медичної допомоги;</w:t>
      </w:r>
    </w:p>
    <w:p w14:paraId="02926DCB" w14:textId="77777777" w:rsidR="0091611F" w:rsidRPr="004B75D1" w:rsidRDefault="0091611F" w:rsidP="0091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- проведення профілактичних щеплень;</w:t>
      </w:r>
    </w:p>
    <w:p w14:paraId="468AC7E2" w14:textId="77777777" w:rsidR="0091611F" w:rsidRPr="004B75D1" w:rsidRDefault="0091611F" w:rsidP="009161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- забезпечення права громадян на вільний вибір лікаря з надання  первинної медичної допомоги ( лікаря загальної практики-сімейного лікаря, лікаря –педіатра, лікаря терапевта</w:t>
      </w:r>
      <w:r w:rsidR="00CB0D5A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5522F95A" w14:textId="77777777" w:rsidR="0091611F" w:rsidRPr="004B75D1" w:rsidRDefault="0091611F" w:rsidP="009161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- планування, організація, участь та контроль за проведенням профілактичних оглядів населення, здійснення профілактичних заходів;</w:t>
      </w:r>
    </w:p>
    <w:p w14:paraId="39C4D0C8" w14:textId="77777777" w:rsidR="0091611F" w:rsidRPr="004B75D1" w:rsidRDefault="0091611F" w:rsidP="009161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консультації щодо профілактики, діагностики, лікування </w:t>
      </w:r>
      <w:proofErr w:type="spellStart"/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хвороб</w:t>
      </w:r>
      <w:proofErr w:type="spellEnd"/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травм, отруєнь, </w:t>
      </w:r>
      <w:proofErr w:type="spellStart"/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паталогічних</w:t>
      </w:r>
      <w:proofErr w:type="spellEnd"/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, фізіологічних (під час вагітності) станів, а також ведення здорового способу життя;</w:t>
      </w:r>
    </w:p>
    <w:p w14:paraId="4E8A4F63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- взаємодія з суб'єктами надання вторинної (спеціалізованої) та третинної</w:t>
      </w:r>
    </w:p>
    <w:p w14:paraId="2B1474CA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(високоспеціалізованої) медичної допомоги; </w:t>
      </w:r>
    </w:p>
    <w:p w14:paraId="4AD12B78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- організація відбору та спрямування хворих на консультацію та лікування до закладів охорони здоров'я та установ, що надають вторинну (спеціалізовану) та третинну (високоспеціалізовану) медичну допомогу; </w:t>
      </w:r>
    </w:p>
    <w:p w14:paraId="557D7C60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забезпечення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дотримання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міжнародних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принципів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доказової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медицини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та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галузевих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стандартів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у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сфері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охорони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здоров'я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>;</w:t>
      </w:r>
    </w:p>
    <w:p w14:paraId="4A194A4A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упровадження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нових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форм та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методів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профілактики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діагностики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лікування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та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реабілітації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захворювань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та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станів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>;</w:t>
      </w:r>
    </w:p>
    <w:p w14:paraId="4743C370" w14:textId="77777777" w:rsidR="00DB500C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проведення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експертизи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тимчасової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непрацездатності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та контролю за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видачею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листків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непрацездатності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та інше .</w:t>
      </w:r>
    </w:p>
    <w:p w14:paraId="0DAD6F44" w14:textId="10A9E0D1" w:rsidR="00F47E1F" w:rsidRPr="004B75D1" w:rsidRDefault="00F47E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Штатна чисель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ність працюючих  становить 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81</w:t>
      </w:r>
      <w:r w:rsidR="00A26D0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штатних одиниць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5192336F" w14:textId="42AE1293" w:rsidR="00A34A2A" w:rsidRPr="004B75D1" w:rsidRDefault="00853EAC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У  фінансовому плані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на 202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4</w:t>
      </w:r>
      <w:r w:rsidR="00A34A2A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рік  заплановано доходи </w:t>
      </w:r>
      <w:r w:rsidR="00106FDC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підприємства  в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сумі 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2</w:t>
      </w:r>
      <w:r w:rsidR="00C67DAF">
        <w:rPr>
          <w:rFonts w:ascii="Times New Roman" w:eastAsia="Arial" w:hAnsi="Times New Roman" w:cs="Times New Roman"/>
          <w:sz w:val="24"/>
          <w:szCs w:val="24"/>
          <w:lang w:val="uk-UA"/>
        </w:rPr>
        <w:t>3965,8</w:t>
      </w:r>
      <w:r w:rsidR="007B364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A34A2A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34A2A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A34A2A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з них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>доходи із НСЗУ 1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5504,8</w:t>
      </w:r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106FDC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r w:rsidR="00FB221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доходи місцевих бюджеті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в за цільовими програмами 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4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5</w:t>
      </w:r>
      <w:r w:rsidR="00C67DAF">
        <w:rPr>
          <w:rFonts w:ascii="Times New Roman" w:eastAsia="Arial" w:hAnsi="Times New Roman" w:cs="Times New Roman"/>
          <w:sz w:val="24"/>
          <w:szCs w:val="24"/>
          <w:lang w:val="uk-UA"/>
        </w:rPr>
        <w:t>15,0</w:t>
      </w:r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, дохід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від розміщення ві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льних коштів на депозитах 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240,0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1C01AB">
        <w:rPr>
          <w:rFonts w:ascii="Times New Roman" w:eastAsia="Arial" w:hAnsi="Times New Roman" w:cs="Times New Roman"/>
          <w:sz w:val="24"/>
          <w:szCs w:val="24"/>
          <w:lang w:val="uk-UA"/>
        </w:rPr>
        <w:t>, інші доходи</w:t>
      </w:r>
      <w:r w:rsidR="007B364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22389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– 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3706,0</w:t>
      </w:r>
      <w:r w:rsidR="0022389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7B364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24B8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724B8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70CBF7D9" w14:textId="0598F7C9" w:rsidR="00F47E1F" w:rsidRPr="004B75D1" w:rsidRDefault="00F47E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Видатки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заплановано в сумі </w:t>
      </w:r>
      <w:r w:rsidR="00223896">
        <w:rPr>
          <w:rFonts w:ascii="Times New Roman" w:eastAsia="Arial" w:hAnsi="Times New Roman" w:cs="Times New Roman"/>
          <w:sz w:val="24"/>
          <w:szCs w:val="24"/>
          <w:lang w:val="uk-UA"/>
        </w:rPr>
        <w:t>2</w:t>
      </w:r>
      <w:r w:rsidR="00034BA9">
        <w:rPr>
          <w:rFonts w:ascii="Times New Roman" w:eastAsia="Arial" w:hAnsi="Times New Roman" w:cs="Times New Roman"/>
          <w:sz w:val="24"/>
          <w:szCs w:val="24"/>
          <w:lang w:val="uk-UA"/>
        </w:rPr>
        <w:t>3833,9</w:t>
      </w:r>
      <w:r w:rsidR="00797719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із </w:t>
      </w:r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них :</w:t>
      </w:r>
    </w:p>
    <w:p w14:paraId="5BF02775" w14:textId="27AAC3DA" w:rsidR="00B71BC6" w:rsidRPr="004B75D1" w:rsidRDefault="00FB2219" w:rsidP="00B71BC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Видатки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із коштів НСЗУ - </w:t>
      </w:r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576FD">
        <w:rPr>
          <w:rFonts w:ascii="Times New Roman" w:eastAsia="Arial" w:hAnsi="Times New Roman" w:cs="Times New Roman"/>
          <w:sz w:val="24"/>
          <w:szCs w:val="24"/>
          <w:lang w:val="uk-UA"/>
        </w:rPr>
        <w:t>1</w:t>
      </w:r>
      <w:r w:rsidR="007F2B92">
        <w:rPr>
          <w:rFonts w:ascii="Times New Roman" w:eastAsia="Arial" w:hAnsi="Times New Roman" w:cs="Times New Roman"/>
          <w:sz w:val="24"/>
          <w:szCs w:val="24"/>
          <w:lang w:val="uk-UA"/>
        </w:rPr>
        <w:t>5504,8</w:t>
      </w:r>
      <w:r w:rsidR="00B576FD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в </w:t>
      </w:r>
      <w:proofErr w:type="spellStart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.:</w:t>
      </w:r>
      <w:r w:rsidR="007810B4" w:rsidRPr="007810B4">
        <w:rPr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</w:t>
      </w:r>
    </w:p>
    <w:p w14:paraId="27269570" w14:textId="04A08CB8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Заробітна плата та нарахува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ння на заробітну плату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336411">
        <w:rPr>
          <w:rFonts w:ascii="Times New Roman" w:eastAsia="Arial" w:hAnsi="Times New Roman" w:cs="Times New Roman"/>
          <w:sz w:val="24"/>
          <w:szCs w:val="24"/>
          <w:lang w:val="uk-UA"/>
        </w:rPr>
        <w:t>14600,6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0E3FACAD" w14:textId="773EE143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Предмети , матеріали </w:t>
      </w:r>
      <w:r w:rsidR="002561A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обладнання та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інвентар </w:t>
      </w:r>
      <w:r w:rsidR="00B576FD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– </w:t>
      </w:r>
      <w:r w:rsidR="00336411">
        <w:rPr>
          <w:rFonts w:ascii="Times New Roman" w:eastAsia="Arial" w:hAnsi="Times New Roman" w:cs="Times New Roman"/>
          <w:sz w:val="24"/>
          <w:szCs w:val="24"/>
          <w:lang w:val="uk-UA"/>
        </w:rPr>
        <w:t>496,0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3BD02B29" w14:textId="4EA8970F" w:rsidR="00B71BC6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Медикаменти та п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ерев’язувальні матеріали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586D7A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336411">
        <w:rPr>
          <w:rFonts w:ascii="Times New Roman" w:eastAsia="Arial" w:hAnsi="Times New Roman" w:cs="Times New Roman"/>
          <w:sz w:val="24"/>
          <w:szCs w:val="24"/>
          <w:lang w:val="uk-UA"/>
        </w:rPr>
        <w:t>408,2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1311CACE" w14:textId="77777777" w:rsidR="00336411" w:rsidRPr="00336411" w:rsidRDefault="00336411" w:rsidP="00336411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4CE766AC" w14:textId="77777777" w:rsidR="004B75D1" w:rsidRDefault="004B75D1" w:rsidP="00821970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00579F32" w14:textId="77777777" w:rsidR="00034BA9" w:rsidRDefault="00034BA9" w:rsidP="00821970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086B782F" w14:textId="77777777" w:rsidR="00034BA9" w:rsidRDefault="00034BA9" w:rsidP="00821970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645AA10F" w14:textId="77777777" w:rsidR="00E10EAB" w:rsidRPr="00821970" w:rsidRDefault="00E10EAB" w:rsidP="00821970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03E1AEB8" w14:textId="4F71C81B" w:rsidR="00B71BC6" w:rsidRPr="004B75D1" w:rsidRDefault="00B71BC6" w:rsidP="00B71BC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lastRenderedPageBreak/>
        <w:t xml:space="preserve">Видатки </w:t>
      </w:r>
      <w:r w:rsidR="00FB221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із коштів місцевих бюджет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ів за цільовими програмами  (селищної та сільських 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територіальних гро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мад)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45</w:t>
      </w:r>
      <w:r w:rsidR="00AD6C4C">
        <w:rPr>
          <w:rFonts w:ascii="Times New Roman" w:eastAsia="Arial" w:hAnsi="Times New Roman" w:cs="Times New Roman"/>
          <w:sz w:val="24"/>
          <w:szCs w:val="24"/>
          <w:lang w:val="uk-UA"/>
        </w:rPr>
        <w:t>15,0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, в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.: </w:t>
      </w:r>
    </w:p>
    <w:p w14:paraId="03F87C66" w14:textId="2EF776EF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Заробітна плата та нарахування на заробітну плату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(медичні працівники амбулаторій ЗПСМ</w:t>
      </w:r>
      <w:r w:rsidR="008839F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)</w:t>
      </w:r>
      <w:r w:rsidR="00FB221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- 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2608,7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6EC90754" w14:textId="4336B0B9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Предмети , матеріали , обладнан</w:t>
      </w:r>
      <w:r w:rsidR="008839F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ня </w:t>
      </w:r>
      <w:r w:rsidR="00BF5EA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та інве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>нтар</w:t>
      </w:r>
      <w:r w:rsidR="00A7049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(паливно-мастильні матеріали)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-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48,0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312B1D26" w14:textId="2CCADA7F" w:rsidR="00B71BC6" w:rsidRPr="004B75D1" w:rsidRDefault="00FB2219" w:rsidP="00BF5EA9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Медикаменти та перев’</w:t>
      </w:r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язувальні матеріали</w:t>
      </w:r>
      <w:r w:rsidR="00BF5EA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(пільгові р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ецепти, лікарські засоби </w:t>
      </w:r>
      <w:r w:rsidR="00262190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, мінімізація наслідків поширення гострих респіраторних захворювань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)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1140,5</w:t>
      </w:r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5E0A098E" w14:textId="45B19F7D" w:rsidR="00B71BC6" w:rsidRPr="004B75D1" w:rsidRDefault="00C726C5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Оплата комунальни</w:t>
      </w:r>
      <w:r w:rsidR="00BF5EA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х послуг та енергоносіїв - </w:t>
      </w:r>
      <w:r w:rsidR="00803C1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7</w:t>
      </w:r>
      <w:r w:rsidR="00AD6C4C">
        <w:rPr>
          <w:rFonts w:ascii="Times New Roman" w:eastAsia="Arial" w:hAnsi="Times New Roman" w:cs="Times New Roman"/>
          <w:sz w:val="24"/>
          <w:szCs w:val="24"/>
          <w:lang w:val="uk-UA"/>
        </w:rPr>
        <w:t>17,8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 , із них :</w:t>
      </w:r>
    </w:p>
    <w:p w14:paraId="421D62C1" w14:textId="75757B41" w:rsidR="00C726C5" w:rsidRPr="004B75D1" w:rsidRDefault="00FB64A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Оплата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теплопостачання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234,2</w:t>
      </w:r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(в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3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4,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2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Сереховичівська</w:t>
      </w:r>
      <w:proofErr w:type="spellEnd"/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ТГ – 100,0 </w:t>
      </w:r>
      <w:proofErr w:type="spellStart"/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)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;</w:t>
      </w:r>
    </w:p>
    <w:p w14:paraId="7C625B9A" w14:textId="13135629" w:rsidR="00C726C5" w:rsidRPr="004B75D1" w:rsidRDefault="00C726C5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Оплата водопо</w:t>
      </w:r>
      <w:r w:rsidR="00803C1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стачання та водовідведення -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>2,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6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(в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ТГ - 2,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6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.)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;</w:t>
      </w:r>
    </w:p>
    <w:p w14:paraId="64612CD0" w14:textId="0AFA2E58" w:rsidR="00C726C5" w:rsidRPr="004B75D1" w:rsidRDefault="00724B8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Оплата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електроенергії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282,</w:t>
      </w:r>
      <w:r w:rsidR="00AD6C4C">
        <w:rPr>
          <w:rFonts w:ascii="Times New Roman" w:eastAsia="Arial" w:hAnsi="Times New Roman" w:cs="Times New Roman"/>
          <w:sz w:val="24"/>
          <w:szCs w:val="24"/>
          <w:lang w:val="uk-UA"/>
        </w:rPr>
        <w:t>8</w:t>
      </w:r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(в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64,2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Дубечненська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176,0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 грн..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Сереховичівська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34,</w:t>
      </w:r>
      <w:r w:rsidR="00D848BC">
        <w:rPr>
          <w:rFonts w:ascii="Times New Roman" w:eastAsia="Arial" w:hAnsi="Times New Roman" w:cs="Times New Roman"/>
          <w:sz w:val="24"/>
          <w:szCs w:val="24"/>
          <w:lang w:val="uk-UA"/>
        </w:rPr>
        <w:t>9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Смідинська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7,7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.)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;</w:t>
      </w:r>
    </w:p>
    <w:p w14:paraId="7F0109CA" w14:textId="294A7A55" w:rsidR="00C726C5" w:rsidRPr="00B979FB" w:rsidRDefault="00205111" w:rsidP="00B979FB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Оплата природного газу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63,</w:t>
      </w:r>
      <w:r w:rsidR="00A970B2">
        <w:rPr>
          <w:rFonts w:ascii="Times New Roman" w:eastAsia="Arial" w:hAnsi="Times New Roman" w:cs="Times New Roman"/>
          <w:sz w:val="24"/>
          <w:szCs w:val="24"/>
          <w:lang w:val="uk-UA"/>
        </w:rPr>
        <w:t>0</w:t>
      </w:r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(в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19,8</w:t>
      </w:r>
      <w:r w:rsidR="004B75D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Дубечненська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27,0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тис. грн..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Сереховичівська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9,8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Смідинська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6,</w:t>
      </w:r>
      <w:r w:rsidR="00B979FB">
        <w:rPr>
          <w:rFonts w:ascii="Times New Roman" w:eastAsia="Arial" w:hAnsi="Times New Roman" w:cs="Times New Roman"/>
          <w:sz w:val="24"/>
          <w:szCs w:val="24"/>
          <w:lang w:val="uk-UA"/>
        </w:rPr>
        <w:t>4</w:t>
      </w:r>
      <w:r w:rsidR="009D00FB" w:rsidRPr="00B979FB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 w:rsidRPr="00B979FB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 w:rsidRPr="00B979FB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9D00FB" w:rsidRPr="00B979FB">
        <w:rPr>
          <w:rFonts w:ascii="Times New Roman" w:eastAsia="Arial" w:hAnsi="Times New Roman" w:cs="Times New Roman"/>
          <w:sz w:val="24"/>
          <w:szCs w:val="24"/>
          <w:lang w:val="uk-UA"/>
        </w:rPr>
        <w:t>);</w:t>
      </w:r>
    </w:p>
    <w:p w14:paraId="65E18F9A" w14:textId="2A492DE0" w:rsidR="00C726C5" w:rsidRPr="004B75D1" w:rsidRDefault="00C726C5" w:rsidP="00CA303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О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плата інших енергоносіїв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135,2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(в </w:t>
      </w:r>
      <w:proofErr w:type="spellStart"/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3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Дубечненська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101,7</w:t>
      </w:r>
      <w:r w:rsidR="004B75D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 грн..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Сереховичівська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ТГ -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30,5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>).</w:t>
      </w:r>
    </w:p>
    <w:p w14:paraId="07989111" w14:textId="749349B3" w:rsidR="006169A5" w:rsidRPr="00B6717F" w:rsidRDefault="00C726C5" w:rsidP="00B6717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Видатки із </w:t>
      </w:r>
      <w:r w:rsidR="00587E08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інших доходів від операційної діяльності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- </w:t>
      </w:r>
      <w:r w:rsidR="00034BA9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1234,3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в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.:</w:t>
      </w:r>
    </w:p>
    <w:p w14:paraId="2AA65BDC" w14:textId="2D6ABCC1" w:rsidR="00B6717F" w:rsidRPr="004B75D1" w:rsidRDefault="00B6717F" w:rsidP="00B6717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Оплата п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ослуг (крім комунальних) –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7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93,3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4B1ECA5B" w14:textId="2834648A" w:rsidR="00B6717F" w:rsidRDefault="00B6717F" w:rsidP="00B6717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Видатки на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відрядження 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7,2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тис. грн.;</w:t>
      </w:r>
    </w:p>
    <w:p w14:paraId="49838699" w14:textId="636F5702" w:rsidR="00B6717F" w:rsidRPr="004B75D1" w:rsidRDefault="00B6717F" w:rsidP="00B6717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Претензія – 73,8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uk-UA"/>
        </w:rPr>
        <w:t>;</w:t>
      </w:r>
    </w:p>
    <w:p w14:paraId="7745F12D" w14:textId="77777777" w:rsidR="00B6717F" w:rsidRPr="008754C6" w:rsidRDefault="00B6717F" w:rsidP="00B6717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Капітальні видатки 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360,0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0301F1E7" w14:textId="51424FAC" w:rsidR="00025F75" w:rsidRPr="004B75D1" w:rsidRDefault="00025F75" w:rsidP="00025F7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3EEB102A" w14:textId="36C0EE6A" w:rsidR="00DB500C" w:rsidRPr="004B75D1" w:rsidRDefault="00DB500C" w:rsidP="00DB500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Інші видатки (централізоване постачання медпрепаратів за кошти держав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ного бюджету) </w:t>
      </w:r>
      <w:r w:rsidR="00D848BC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6717F">
        <w:rPr>
          <w:rFonts w:ascii="Times New Roman" w:eastAsia="Arial" w:hAnsi="Times New Roman" w:cs="Times New Roman"/>
          <w:sz w:val="24"/>
          <w:szCs w:val="24"/>
          <w:lang w:val="uk-UA"/>
        </w:rPr>
        <w:t>1633,8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тис. грн., в </w:t>
      </w:r>
      <w:proofErr w:type="spellStart"/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5AD7F77E" w14:textId="22E0BAA5" w:rsidR="00FB64A6" w:rsidRPr="0045414C" w:rsidRDefault="002B730D" w:rsidP="0045414C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Медикаменти та перев’</w:t>
      </w:r>
      <w:r w:rsidR="00DB500C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язувальні матеріали (це</w:t>
      </w:r>
      <w:r w:rsidR="00797719">
        <w:rPr>
          <w:rFonts w:ascii="Times New Roman" w:eastAsia="Arial" w:hAnsi="Times New Roman" w:cs="Times New Roman"/>
          <w:sz w:val="24"/>
          <w:szCs w:val="24"/>
          <w:lang w:val="uk-UA"/>
        </w:rPr>
        <w:t>нтралізоване пос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тачання) </w:t>
      </w:r>
      <w:r w:rsidR="00D848BC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6717F">
        <w:rPr>
          <w:rFonts w:ascii="Times New Roman" w:eastAsia="Arial" w:hAnsi="Times New Roman" w:cs="Times New Roman"/>
          <w:sz w:val="24"/>
          <w:szCs w:val="24"/>
          <w:lang w:val="uk-UA"/>
        </w:rPr>
        <w:t>1633,8</w:t>
      </w:r>
      <w:r w:rsidR="003364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B500C" w:rsidRPr="0045414C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DB500C" w:rsidRPr="0045414C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2A3E8D9E" w14:textId="77777777" w:rsidR="00FB64A6" w:rsidRPr="00FB64A6" w:rsidRDefault="00FB64A6" w:rsidP="00FB64A6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</w:t>
      </w:r>
    </w:p>
    <w:p w14:paraId="3CCBAF01" w14:textId="2B0CB3BB" w:rsidR="00797719" w:rsidRPr="00797719" w:rsidRDefault="00205111" w:rsidP="00797719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Амортизація </w:t>
      </w:r>
      <w:r w:rsidR="00D848BC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AD6C4C">
        <w:rPr>
          <w:rFonts w:ascii="Times New Roman" w:eastAsia="Arial" w:hAnsi="Times New Roman" w:cs="Times New Roman"/>
          <w:sz w:val="24"/>
          <w:szCs w:val="24"/>
          <w:lang w:val="uk-UA"/>
        </w:rPr>
        <w:t>996,0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7719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797719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6D059393" w14:textId="77777777" w:rsidR="00596B19" w:rsidRPr="004B75D1" w:rsidRDefault="00596B19" w:rsidP="00596B19">
      <w:pPr>
        <w:pStyle w:val="a3"/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ind w:left="108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09FB62EB" w14:textId="77777777" w:rsidR="00025F75" w:rsidRPr="004B75D1" w:rsidRDefault="00025F75" w:rsidP="00DB500C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0C0E963C" w14:textId="777D2F3F" w:rsidR="00025F75" w:rsidRPr="004B75D1" w:rsidRDefault="00C67DAF" w:rsidP="00025F75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>Д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иректор                  </w:t>
      </w:r>
      <w:r w:rsidR="00025F7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3F1C0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     </w:t>
      </w:r>
      <w:r w:rsidR="00DB500C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                </w:t>
      </w:r>
      <w:r w:rsidR="00FA21C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Наталія ФЕЩУК</w:t>
      </w:r>
    </w:p>
    <w:p w14:paraId="26A62C81" w14:textId="75FE2927" w:rsidR="0091611F" w:rsidRPr="00FB64A6" w:rsidRDefault="00F47E1F" w:rsidP="00B46896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16"/>
          <w:szCs w:val="16"/>
          <w:lang w:val="uk-UA"/>
        </w:rPr>
      </w:pPr>
      <w:r w:rsidRPr="00FA21C6">
        <w:rPr>
          <w:rFonts w:ascii="Times New Roman" w:eastAsia="Arial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B64A6" w:rsidRPr="00FB64A6">
        <w:rPr>
          <w:rFonts w:ascii="Times New Roman" w:eastAsia="Arial" w:hAnsi="Times New Roman" w:cs="Times New Roman"/>
          <w:sz w:val="16"/>
          <w:szCs w:val="16"/>
          <w:lang w:val="uk-UA"/>
        </w:rPr>
        <w:t>Л</w:t>
      </w:r>
      <w:r w:rsidR="00B81205">
        <w:rPr>
          <w:rFonts w:ascii="Times New Roman" w:eastAsia="Arial" w:hAnsi="Times New Roman" w:cs="Times New Roman"/>
          <w:sz w:val="16"/>
          <w:szCs w:val="16"/>
          <w:lang w:val="uk-UA"/>
        </w:rPr>
        <w:t>емешук</w:t>
      </w:r>
      <w:proofErr w:type="spellEnd"/>
      <w:r w:rsidR="00FB64A6" w:rsidRPr="00FB64A6">
        <w:rPr>
          <w:rFonts w:ascii="Times New Roman" w:eastAsia="Arial" w:hAnsi="Times New Roman" w:cs="Times New Roman"/>
          <w:sz w:val="16"/>
          <w:szCs w:val="16"/>
          <w:lang w:val="uk-UA"/>
        </w:rPr>
        <w:t xml:space="preserve"> 21290</w:t>
      </w:r>
    </w:p>
    <w:sectPr w:rsidR="0091611F" w:rsidRPr="00FB6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A3349"/>
    <w:multiLevelType w:val="hybridMultilevel"/>
    <w:tmpl w:val="CBE49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8144D"/>
    <w:multiLevelType w:val="hybridMultilevel"/>
    <w:tmpl w:val="F898969A"/>
    <w:lvl w:ilvl="0" w:tplc="C5389386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8947379">
    <w:abstractNumId w:val="0"/>
  </w:num>
  <w:num w:numId="2" w16cid:durableId="850992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F"/>
    <w:rsid w:val="00025F75"/>
    <w:rsid w:val="00034BA9"/>
    <w:rsid w:val="000F1C09"/>
    <w:rsid w:val="00106FDC"/>
    <w:rsid w:val="001572C8"/>
    <w:rsid w:val="001C01AB"/>
    <w:rsid w:val="00205111"/>
    <w:rsid w:val="00223896"/>
    <w:rsid w:val="002335E6"/>
    <w:rsid w:val="002362A9"/>
    <w:rsid w:val="002561A8"/>
    <w:rsid w:val="00262190"/>
    <w:rsid w:val="002B730D"/>
    <w:rsid w:val="002D242F"/>
    <w:rsid w:val="003060E9"/>
    <w:rsid w:val="00336411"/>
    <w:rsid w:val="003761CF"/>
    <w:rsid w:val="003B71D0"/>
    <w:rsid w:val="003D4873"/>
    <w:rsid w:val="003F1C0B"/>
    <w:rsid w:val="00452D25"/>
    <w:rsid w:val="0045414C"/>
    <w:rsid w:val="004B75D1"/>
    <w:rsid w:val="004D5DCB"/>
    <w:rsid w:val="0056290D"/>
    <w:rsid w:val="00586D7A"/>
    <w:rsid w:val="00587E08"/>
    <w:rsid w:val="00596B19"/>
    <w:rsid w:val="005C2B41"/>
    <w:rsid w:val="006169A5"/>
    <w:rsid w:val="00665D09"/>
    <w:rsid w:val="00724B86"/>
    <w:rsid w:val="007739B7"/>
    <w:rsid w:val="007810B4"/>
    <w:rsid w:val="00797719"/>
    <w:rsid w:val="007B3641"/>
    <w:rsid w:val="007D63C0"/>
    <w:rsid w:val="007F2B92"/>
    <w:rsid w:val="00803C1D"/>
    <w:rsid w:val="00821970"/>
    <w:rsid w:val="00853EAC"/>
    <w:rsid w:val="00873344"/>
    <w:rsid w:val="008754C6"/>
    <w:rsid w:val="008839F6"/>
    <w:rsid w:val="0091611F"/>
    <w:rsid w:val="009D00FB"/>
    <w:rsid w:val="009E2803"/>
    <w:rsid w:val="00A26D06"/>
    <w:rsid w:val="00A34A2A"/>
    <w:rsid w:val="00A60BDD"/>
    <w:rsid w:val="00A70497"/>
    <w:rsid w:val="00A970B2"/>
    <w:rsid w:val="00AD6C4C"/>
    <w:rsid w:val="00B33EE0"/>
    <w:rsid w:val="00B36342"/>
    <w:rsid w:val="00B4115B"/>
    <w:rsid w:val="00B4140C"/>
    <w:rsid w:val="00B46896"/>
    <w:rsid w:val="00B576FD"/>
    <w:rsid w:val="00B6717F"/>
    <w:rsid w:val="00B71BC6"/>
    <w:rsid w:val="00B74B44"/>
    <w:rsid w:val="00B81205"/>
    <w:rsid w:val="00B979FB"/>
    <w:rsid w:val="00BF5EA9"/>
    <w:rsid w:val="00C67DAF"/>
    <w:rsid w:val="00C726C5"/>
    <w:rsid w:val="00CA3038"/>
    <w:rsid w:val="00CB0D5A"/>
    <w:rsid w:val="00CE6CDD"/>
    <w:rsid w:val="00D22EB0"/>
    <w:rsid w:val="00D75557"/>
    <w:rsid w:val="00D848BC"/>
    <w:rsid w:val="00DB500C"/>
    <w:rsid w:val="00DD7ADB"/>
    <w:rsid w:val="00E10EAB"/>
    <w:rsid w:val="00E477B6"/>
    <w:rsid w:val="00E720DE"/>
    <w:rsid w:val="00EC2EE0"/>
    <w:rsid w:val="00F47E1F"/>
    <w:rsid w:val="00F90E74"/>
    <w:rsid w:val="00FA21C6"/>
    <w:rsid w:val="00FB2219"/>
    <w:rsid w:val="00FB64A6"/>
    <w:rsid w:val="00FE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4077"/>
  <w15:docId w15:val="{14DA03F0-CFAC-4C4E-B365-2C60EDD9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B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6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468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F59B1-FDD5-4BCA-B9A5-CB52BD95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2776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LESYA</cp:lastModifiedBy>
  <cp:revision>72</cp:revision>
  <cp:lastPrinted>2024-12-16T15:05:00Z</cp:lastPrinted>
  <dcterms:created xsi:type="dcterms:W3CDTF">2019-05-13T07:32:00Z</dcterms:created>
  <dcterms:modified xsi:type="dcterms:W3CDTF">2024-12-16T15:05:00Z</dcterms:modified>
</cp:coreProperties>
</file>